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BF210" w14:textId="3708FFAF" w:rsidR="00F62743" w:rsidRDefault="003E694D" w:rsidP="00F61279">
      <w:pPr>
        <w:pStyle w:val="CoverTitle"/>
        <w:spacing w:after="120"/>
      </w:pPr>
      <w:r w:rsidRPr="003E694D">
        <w:rPr>
          <w:highlight w:val="yellow"/>
        </w:rPr>
        <w:t>Company Name</w:t>
      </w:r>
    </w:p>
    <w:p w14:paraId="17A22E86" w14:textId="2D4DEFA4" w:rsidR="00CF2A03" w:rsidRDefault="000C4D25">
      <w:pPr>
        <w:pStyle w:val="CoverTitle"/>
      </w:pPr>
      <w:r>
        <w:t xml:space="preserve">RISK MANAGEMENT AND </w:t>
      </w:r>
      <w:r w:rsidR="00CF2A03" w:rsidRPr="00CF2A03">
        <w:t>INVESTMENT POLICY</w:t>
      </w:r>
    </w:p>
    <w:p w14:paraId="43DF94EF" w14:textId="7664C902" w:rsidR="0041782C" w:rsidRPr="00E463DA" w:rsidRDefault="0041782C" w:rsidP="00F61279">
      <w:pPr>
        <w:pStyle w:val="BodyText"/>
        <w:ind w:firstLine="748"/>
        <w:jc w:val="both"/>
      </w:pPr>
      <w:r>
        <w:t xml:space="preserve">This investment policy (this </w:t>
      </w:r>
      <w:r>
        <w:rPr>
          <w:bCs/>
        </w:rPr>
        <w:t>“</w:t>
      </w:r>
      <w:r>
        <w:rPr>
          <w:bCs/>
          <w:u w:val="single"/>
        </w:rPr>
        <w:t>Policy</w:t>
      </w:r>
      <w:r>
        <w:rPr>
          <w:bCs/>
        </w:rPr>
        <w:t xml:space="preserve">”) </w:t>
      </w:r>
      <w:r>
        <w:t xml:space="preserve">has been adopted by resolution </w:t>
      </w:r>
      <w:r w:rsidR="00682BD8">
        <w:t xml:space="preserve">of the </w:t>
      </w:r>
      <w:r>
        <w:t xml:space="preserve">Board of Directors (the </w:t>
      </w:r>
      <w:r>
        <w:rPr>
          <w:bCs/>
        </w:rPr>
        <w:t>“</w:t>
      </w:r>
      <w:r>
        <w:rPr>
          <w:bCs/>
          <w:u w:val="single"/>
        </w:rPr>
        <w:t>Board</w:t>
      </w:r>
      <w:r>
        <w:rPr>
          <w:bCs/>
        </w:rPr>
        <w:t xml:space="preserve">”) </w:t>
      </w:r>
      <w:proofErr w:type="spellStart"/>
      <w:r w:rsidR="003E694D">
        <w:rPr>
          <w:bCs/>
        </w:rPr>
        <w:t>tic</w:t>
      </w:r>
      <w:r w:rsidR="003E694D" w:rsidRPr="003E694D">
        <w:rPr>
          <w:highlight w:val="yellow"/>
        </w:rPr>
        <w:t>Company</w:t>
      </w:r>
      <w:proofErr w:type="spellEnd"/>
      <w:r w:rsidR="003E694D" w:rsidRPr="003E694D">
        <w:rPr>
          <w:highlight w:val="yellow"/>
        </w:rPr>
        <w:t xml:space="preserve"> Name</w:t>
      </w:r>
      <w:r>
        <w:t xml:space="preserve"> (the </w:t>
      </w:r>
      <w:r>
        <w:rPr>
          <w:bCs/>
        </w:rPr>
        <w:t>“</w:t>
      </w:r>
      <w:r>
        <w:rPr>
          <w:bCs/>
          <w:u w:val="single"/>
        </w:rPr>
        <w:t>Company</w:t>
      </w:r>
      <w:r>
        <w:rPr>
          <w:bCs/>
        </w:rPr>
        <w:t>”)</w:t>
      </w:r>
      <w:r w:rsidR="007E28A9">
        <w:rPr>
          <w:bCs/>
        </w:rPr>
        <w:t>,</w:t>
      </w:r>
      <w:r>
        <w:rPr>
          <w:bCs/>
        </w:rPr>
        <w:t xml:space="preserve"> </w:t>
      </w:r>
      <w:r w:rsidRPr="00D36B6E">
        <w:t xml:space="preserve">on </w:t>
      </w:r>
      <w:r w:rsidR="00003B9B" w:rsidRPr="00003B9B">
        <w:rPr>
          <w:highlight w:val="yellow"/>
        </w:rPr>
        <w:t>____, 2024</w:t>
      </w:r>
      <w:r w:rsidR="009259B9">
        <w:t xml:space="preserve">, </w:t>
      </w:r>
      <w:r>
        <w:t>with respect to the Company</w:t>
      </w:r>
      <w:r w:rsidR="00F22080">
        <w:t xml:space="preserve"> and </w:t>
      </w:r>
      <w:r w:rsidR="00F61279">
        <w:t>any</w:t>
      </w:r>
      <w:r w:rsidR="00F22080">
        <w:t xml:space="preserve"> subsidiaries. </w:t>
      </w:r>
      <w:r>
        <w:t xml:space="preserve">This Policy sets forth the eligible investments </w:t>
      </w:r>
      <w:r>
        <w:rPr>
          <w:spacing w:val="-1"/>
        </w:rPr>
        <w:t xml:space="preserve">and the investment limits applicable to the </w:t>
      </w:r>
      <w:r w:rsidR="003041C4">
        <w:rPr>
          <w:spacing w:val="-1"/>
        </w:rPr>
        <w:t>Company’s investment portfolio (the “</w:t>
      </w:r>
      <w:r w:rsidRPr="003041C4">
        <w:rPr>
          <w:spacing w:val="-1"/>
          <w:u w:val="single"/>
        </w:rPr>
        <w:t>Portfolio</w:t>
      </w:r>
      <w:r w:rsidR="003041C4">
        <w:rPr>
          <w:spacing w:val="-1"/>
        </w:rPr>
        <w:t>”)</w:t>
      </w:r>
      <w:r>
        <w:rPr>
          <w:spacing w:val="-1"/>
        </w:rPr>
        <w:t xml:space="preserve">. The Portfolio is the </w:t>
      </w:r>
      <w:r w:rsidRPr="00B6412E">
        <w:rPr>
          <w:spacing w:val="-1"/>
        </w:rPr>
        <w:t xml:space="preserve">responsibility of the </w:t>
      </w:r>
      <w:r w:rsidR="003B4708" w:rsidRPr="00865C74">
        <w:rPr>
          <w:highlight w:val="yellow"/>
        </w:rPr>
        <w:t>CFO</w:t>
      </w:r>
      <w:r w:rsidRPr="00B6412E">
        <w:t xml:space="preserve"> of the Company (the “</w:t>
      </w:r>
      <w:r w:rsidR="003B4708" w:rsidRPr="000520BA">
        <w:rPr>
          <w:highlight w:val="yellow"/>
          <w:u w:val="single"/>
        </w:rPr>
        <w:t>CFO</w:t>
      </w:r>
      <w:r w:rsidRPr="00B6412E">
        <w:t>”)</w:t>
      </w:r>
      <w:r w:rsidR="00682BD8" w:rsidRPr="00B6412E">
        <w:t xml:space="preserve">, subject to the supervision of the </w:t>
      </w:r>
      <w:r w:rsidR="00923DD7">
        <w:t>Board</w:t>
      </w:r>
      <w:r w:rsidRPr="00B6412E">
        <w:t xml:space="preserve">. The </w:t>
      </w:r>
      <w:r w:rsidR="003B4708" w:rsidRPr="000520BA">
        <w:rPr>
          <w:highlight w:val="yellow"/>
        </w:rPr>
        <w:t>CFO</w:t>
      </w:r>
      <w:r w:rsidRPr="00B6412E">
        <w:t xml:space="preserve"> shall comply with this</w:t>
      </w:r>
      <w:r>
        <w:t xml:space="preserve"> Policy in all actions taken </w:t>
      </w:r>
      <w:r w:rsidRPr="00E463DA">
        <w:t>with respect to the Portfolio.</w:t>
      </w:r>
      <w:r w:rsidR="001F357A">
        <w:t xml:space="preserve"> </w:t>
      </w:r>
    </w:p>
    <w:p w14:paraId="73616EE3" w14:textId="77777777" w:rsidR="0041782C" w:rsidRPr="00E463DA" w:rsidRDefault="0041782C" w:rsidP="0041782C">
      <w:pPr>
        <w:pStyle w:val="LegalL1"/>
      </w:pPr>
      <w:r w:rsidRPr="00E463DA">
        <w:t>PURPOSE</w:t>
      </w:r>
    </w:p>
    <w:p w14:paraId="7BE7E10A" w14:textId="587C5BBC" w:rsidR="0041782C" w:rsidRPr="00E463DA" w:rsidRDefault="0041782C" w:rsidP="00923DD7">
      <w:pPr>
        <w:pStyle w:val="LegalL2"/>
        <w:numPr>
          <w:ilvl w:val="0"/>
          <w:numId w:val="0"/>
        </w:numPr>
        <w:ind w:left="748"/>
        <w:jc w:val="both"/>
      </w:pPr>
      <w:r w:rsidRPr="00E463DA">
        <w:rPr>
          <w:spacing w:val="-1"/>
        </w:rPr>
        <w:t xml:space="preserve">The Company’s surplus </w:t>
      </w:r>
      <w:r w:rsidR="004839FB" w:rsidRPr="00E463DA">
        <w:rPr>
          <w:spacing w:val="-1"/>
        </w:rPr>
        <w:t>f</w:t>
      </w:r>
      <w:r w:rsidRPr="00E463DA">
        <w:rPr>
          <w:spacing w:val="-1"/>
        </w:rPr>
        <w:t xml:space="preserve">unds are held to meet the Company’s working capital and fixed capital </w:t>
      </w:r>
      <w:r w:rsidRPr="00E463DA">
        <w:t>requirements</w:t>
      </w:r>
      <w:r w:rsidR="004E57E3">
        <w:t xml:space="preserve"> and for </w:t>
      </w:r>
      <w:r w:rsidR="004E57E3" w:rsidRPr="00E463DA">
        <w:t>its business development and acquisition program</w:t>
      </w:r>
      <w:r w:rsidRPr="00E463DA">
        <w:t xml:space="preserve">. Funds are not held for the purpose of investment </w:t>
      </w:r>
      <w:r w:rsidR="00682BD8" w:rsidRPr="00E463DA">
        <w:t xml:space="preserve">of a speculative nature </w:t>
      </w:r>
      <w:r w:rsidRPr="00E463DA">
        <w:t>and at no time should the capital value of the Funds be put at unnecessary risk.</w:t>
      </w:r>
    </w:p>
    <w:p w14:paraId="09B1301A" w14:textId="77777777" w:rsidR="0041782C" w:rsidRPr="00E463DA" w:rsidRDefault="0041782C" w:rsidP="005F2917">
      <w:pPr>
        <w:pStyle w:val="LegalL1"/>
        <w:jc w:val="both"/>
      </w:pPr>
      <w:r w:rsidRPr="00E463DA">
        <w:t>INVESTMENT OBJECTIVES</w:t>
      </w:r>
    </w:p>
    <w:p w14:paraId="6D8F0579" w14:textId="77777777" w:rsidR="0041782C" w:rsidRDefault="0041782C" w:rsidP="005F2917">
      <w:pPr>
        <w:pStyle w:val="LegalL2"/>
        <w:ind w:firstLine="748"/>
        <w:jc w:val="both"/>
      </w:pPr>
      <w:r>
        <w:t xml:space="preserve">The objectives of the </w:t>
      </w:r>
      <w:r w:rsidR="004E57E3">
        <w:t xml:space="preserve">management of the </w:t>
      </w:r>
      <w:r>
        <w:t xml:space="preserve">Portfolio are as follows: </w:t>
      </w:r>
    </w:p>
    <w:p w14:paraId="22D1DD5B" w14:textId="77777777" w:rsidR="0041782C" w:rsidRDefault="0041782C" w:rsidP="00865F37">
      <w:pPr>
        <w:pStyle w:val="LegalL3"/>
        <w:tabs>
          <w:tab w:val="clear" w:pos="2520"/>
          <w:tab w:val="num" w:pos="2268"/>
        </w:tabs>
        <w:spacing w:line="240" w:lineRule="auto"/>
        <w:jc w:val="both"/>
      </w:pPr>
      <w:r>
        <w:t xml:space="preserve">to conserve </w:t>
      </w:r>
      <w:proofErr w:type="gramStart"/>
      <w:r>
        <w:t>capital;</w:t>
      </w:r>
      <w:proofErr w:type="gramEnd"/>
    </w:p>
    <w:p w14:paraId="6825C333" w14:textId="77777777" w:rsidR="0041782C" w:rsidRPr="00E463DA" w:rsidRDefault="0041782C" w:rsidP="00865F37">
      <w:pPr>
        <w:pStyle w:val="LegalL3"/>
        <w:tabs>
          <w:tab w:val="clear" w:pos="2520"/>
          <w:tab w:val="num" w:pos="2268"/>
        </w:tabs>
        <w:spacing w:line="240" w:lineRule="auto"/>
        <w:jc w:val="both"/>
      </w:pPr>
      <w:r w:rsidRPr="00E463DA">
        <w:t xml:space="preserve">to maintain </w:t>
      </w:r>
      <w:r w:rsidR="003041C4" w:rsidRPr="00E463DA">
        <w:t>adequate</w:t>
      </w:r>
      <w:r w:rsidRPr="00E463DA">
        <w:t xml:space="preserve"> </w:t>
      </w:r>
      <w:proofErr w:type="gramStart"/>
      <w:r w:rsidRPr="00E463DA">
        <w:t>liquidity</w:t>
      </w:r>
      <w:r w:rsidR="003041C4" w:rsidRPr="00E463DA">
        <w:t>;</w:t>
      </w:r>
      <w:proofErr w:type="gramEnd"/>
      <w:r w:rsidR="003041C4" w:rsidRPr="00E463DA">
        <w:t xml:space="preserve"> </w:t>
      </w:r>
    </w:p>
    <w:p w14:paraId="0BBE5EE3" w14:textId="77777777" w:rsidR="003041C4" w:rsidRPr="0072509C" w:rsidRDefault="00682BD8" w:rsidP="00865F37">
      <w:pPr>
        <w:pStyle w:val="LegalL3"/>
        <w:tabs>
          <w:tab w:val="clear" w:pos="2520"/>
          <w:tab w:val="num" w:pos="2268"/>
        </w:tabs>
        <w:spacing w:line="240" w:lineRule="auto"/>
        <w:jc w:val="both"/>
      </w:pPr>
      <w:r w:rsidRPr="0072509C">
        <w:t xml:space="preserve">subject to </w:t>
      </w:r>
      <w:r w:rsidR="00E463DA" w:rsidRPr="0072509C">
        <w:t xml:space="preserve">the </w:t>
      </w:r>
      <w:r w:rsidRPr="0072509C">
        <w:t xml:space="preserve">objectives </w:t>
      </w:r>
      <w:r w:rsidR="00E463DA" w:rsidRPr="0072509C">
        <w:t xml:space="preserve">specified in sub-clauses </w:t>
      </w:r>
      <w:r w:rsidRPr="0072509C">
        <w:t>2.1.1 and 2.1.2</w:t>
      </w:r>
      <w:r w:rsidR="00E463DA" w:rsidRPr="0072509C">
        <w:t xml:space="preserve"> above</w:t>
      </w:r>
      <w:r w:rsidRPr="0072509C">
        <w:t xml:space="preserve">, </w:t>
      </w:r>
      <w:r w:rsidR="003041C4" w:rsidRPr="0072509C">
        <w:t xml:space="preserve">to </w:t>
      </w:r>
      <w:r w:rsidR="004E57E3" w:rsidRPr="0072509C">
        <w:t>optimize</w:t>
      </w:r>
      <w:r w:rsidR="003041C4" w:rsidRPr="0072509C">
        <w:t xml:space="preserve"> the Portfolio yield, subject to </w:t>
      </w:r>
      <w:r w:rsidR="003372B1" w:rsidRPr="0072509C">
        <w:t xml:space="preserve">the terms of </w:t>
      </w:r>
      <w:r w:rsidR="003041C4" w:rsidRPr="0072509C">
        <w:t>this Policy</w:t>
      </w:r>
      <w:r w:rsidR="003372B1" w:rsidRPr="0072509C">
        <w:t xml:space="preserve"> and to such tax considerations</w:t>
      </w:r>
      <w:r w:rsidR="004E57E3" w:rsidRPr="0072509C">
        <w:t xml:space="preserve"> as</w:t>
      </w:r>
      <w:r w:rsidR="003372B1" w:rsidRPr="0072509C">
        <w:t xml:space="preserve"> </w:t>
      </w:r>
      <w:r w:rsidR="00E9062F" w:rsidRPr="0072509C">
        <w:t>the Board may</w:t>
      </w:r>
      <w:r w:rsidR="003372B1" w:rsidRPr="0072509C">
        <w:t xml:space="preserve"> determine</w:t>
      </w:r>
      <w:r w:rsidR="004E57E3" w:rsidRPr="0072509C">
        <w:t xml:space="preserve"> as</w:t>
      </w:r>
      <w:r w:rsidR="00E9062F" w:rsidRPr="0072509C">
        <w:t xml:space="preserve"> </w:t>
      </w:r>
      <w:r w:rsidR="003372B1" w:rsidRPr="0072509C">
        <w:t>relevant</w:t>
      </w:r>
      <w:r w:rsidR="00E9062F" w:rsidRPr="0072509C">
        <w:t xml:space="preserve"> from time to time</w:t>
      </w:r>
      <w:r w:rsidR="003041C4" w:rsidRPr="0072509C">
        <w:t>;</w:t>
      </w:r>
      <w:r w:rsidRPr="0072509C">
        <w:t xml:space="preserve"> and</w:t>
      </w:r>
    </w:p>
    <w:p w14:paraId="214AD866" w14:textId="77777777" w:rsidR="0041782C" w:rsidRDefault="0041782C" w:rsidP="00865F37">
      <w:pPr>
        <w:pStyle w:val="LegalL3"/>
        <w:tabs>
          <w:tab w:val="clear" w:pos="2520"/>
          <w:tab w:val="num" w:pos="2268"/>
        </w:tabs>
        <w:spacing w:line="240" w:lineRule="auto"/>
        <w:jc w:val="both"/>
      </w:pPr>
      <w:r w:rsidRPr="00E463DA">
        <w:t xml:space="preserve">to </w:t>
      </w:r>
      <w:r w:rsidR="00B6412E" w:rsidRPr="00E463DA">
        <w:t xml:space="preserve">maintain a </w:t>
      </w:r>
      <w:r w:rsidR="003041C4" w:rsidRPr="00E463DA">
        <w:t>free cash flow distribution</w:t>
      </w:r>
      <w:r w:rsidR="003041C4">
        <w:t>, as set forth in this Policy</w:t>
      </w:r>
      <w:r w:rsidR="0072509C">
        <w:t>.</w:t>
      </w:r>
      <w:r>
        <w:t xml:space="preserve"> </w:t>
      </w:r>
    </w:p>
    <w:p w14:paraId="4F5C81CB" w14:textId="77777777" w:rsidR="0041782C" w:rsidRPr="00417172" w:rsidRDefault="008E1647" w:rsidP="005F2917">
      <w:pPr>
        <w:pStyle w:val="LegalL2"/>
        <w:ind w:firstLine="748"/>
        <w:jc w:val="both"/>
      </w:pPr>
      <w:r w:rsidRPr="00417172">
        <w:t>T</w:t>
      </w:r>
      <w:r w:rsidR="0041782C" w:rsidRPr="00417172">
        <w:t xml:space="preserve">he Company </w:t>
      </w:r>
      <w:r w:rsidR="00682BD8" w:rsidRPr="00417172">
        <w:t xml:space="preserve">intends to </w:t>
      </w:r>
      <w:r w:rsidR="0041782C" w:rsidRPr="00417172">
        <w:t>continue to qualify for the exemption from registration as an investment company contained in Rule 3a-8 (or another exemption) under the U.S. Investment Company Act of 1940, as amended (the “</w:t>
      </w:r>
      <w:r w:rsidR="0041782C" w:rsidRPr="00417172">
        <w:rPr>
          <w:u w:val="single"/>
        </w:rPr>
        <w:t>Investment Company Act</w:t>
      </w:r>
      <w:r w:rsidR="0041782C" w:rsidRPr="00417172">
        <w:t xml:space="preserve">”).  </w:t>
      </w:r>
    </w:p>
    <w:p w14:paraId="2AEC2030" w14:textId="77777777" w:rsidR="0041782C" w:rsidRPr="004E57E3" w:rsidRDefault="0041782C" w:rsidP="005F2917">
      <w:pPr>
        <w:pStyle w:val="LegalL1"/>
        <w:jc w:val="both"/>
      </w:pPr>
      <w:r w:rsidRPr="004E57E3">
        <w:t>AUTHORIZED INVESTMENTS</w:t>
      </w:r>
    </w:p>
    <w:p w14:paraId="3F9BAA4E" w14:textId="77777777" w:rsidR="0041782C" w:rsidRDefault="00384120" w:rsidP="005F2917">
      <w:pPr>
        <w:pStyle w:val="LegalL2"/>
        <w:ind w:firstLine="748"/>
        <w:jc w:val="both"/>
      </w:pPr>
      <w:r>
        <w:t xml:space="preserve">Investment Grade and </w:t>
      </w:r>
      <w:r w:rsidR="0041782C">
        <w:t>Investment Products</w:t>
      </w:r>
    </w:p>
    <w:p w14:paraId="51E13625" w14:textId="6B4C1061" w:rsidR="00384120" w:rsidRDefault="00384120" w:rsidP="00923DD7">
      <w:pPr>
        <w:pStyle w:val="BodyText"/>
        <w:ind w:firstLine="748"/>
        <w:jc w:val="both"/>
      </w:pPr>
      <w:r w:rsidRPr="00BE5C21">
        <w:t>All Permitted Investment Products (as defined below)</w:t>
      </w:r>
      <w:r w:rsidR="00B6412E" w:rsidRPr="00BE5C21">
        <w:t xml:space="preserve"> shall comply with explicit ratings by Moody’s Investors Services, Inc.</w:t>
      </w:r>
      <w:r w:rsidR="001E4EF5" w:rsidRPr="00BE5C21">
        <w:t xml:space="preserve"> (or its Israeli affiliate, </w:t>
      </w:r>
      <w:proofErr w:type="spellStart"/>
      <w:r w:rsidR="001E4EF5" w:rsidRPr="00BE5C21">
        <w:t>Midroog</w:t>
      </w:r>
      <w:proofErr w:type="spellEnd"/>
      <w:r w:rsidR="001E4EF5" w:rsidRPr="00BE5C21">
        <w:t xml:space="preserve">) </w:t>
      </w:r>
      <w:r w:rsidR="00B6412E" w:rsidRPr="00BE5C21">
        <w:t>(</w:t>
      </w:r>
      <w:r w:rsidR="001E4EF5" w:rsidRPr="00BE5C21">
        <w:t xml:space="preserve">collectively, </w:t>
      </w:r>
      <w:r w:rsidR="00B6412E" w:rsidRPr="00BE5C21">
        <w:t>“</w:t>
      </w:r>
      <w:r w:rsidR="00B6412E" w:rsidRPr="00BE5C21">
        <w:rPr>
          <w:u w:val="single"/>
        </w:rPr>
        <w:t>Moody’s</w:t>
      </w:r>
      <w:r w:rsidR="00B6412E" w:rsidRPr="00BE5C21">
        <w:t xml:space="preserve">”), Standard &amp; Poor’s Financial Services LLC </w:t>
      </w:r>
      <w:r w:rsidR="001E4EF5" w:rsidRPr="00BE5C21">
        <w:t xml:space="preserve">(or its Israeli affiliate, Standard &amp; Poor's Maalot) </w:t>
      </w:r>
      <w:r w:rsidR="00B6412E" w:rsidRPr="00BE5C21">
        <w:t>(</w:t>
      </w:r>
      <w:r w:rsidR="001E4EF5" w:rsidRPr="00BE5C21">
        <w:t xml:space="preserve">collectively, </w:t>
      </w:r>
      <w:r w:rsidR="00B6412E" w:rsidRPr="00BE5C21">
        <w:t>“</w:t>
      </w:r>
      <w:r w:rsidR="00B6412E" w:rsidRPr="00BE5C21">
        <w:rPr>
          <w:u w:val="single"/>
        </w:rPr>
        <w:t>Standard &amp; Poor’s</w:t>
      </w:r>
      <w:r w:rsidR="00B6412E" w:rsidRPr="00BE5C21">
        <w:t>”) and/or Fitch, Inc. (“</w:t>
      </w:r>
      <w:r w:rsidR="00B6412E" w:rsidRPr="00BE5C21">
        <w:rPr>
          <w:u w:val="single"/>
        </w:rPr>
        <w:t>Fitch</w:t>
      </w:r>
      <w:r w:rsidR="00B6412E" w:rsidRPr="00BE5C21">
        <w:t xml:space="preserve">”). For those </w:t>
      </w:r>
      <w:r w:rsidR="00B6412E" w:rsidRPr="00BE5C21">
        <w:rPr>
          <w:spacing w:val="-1"/>
        </w:rPr>
        <w:t xml:space="preserve">Investments with a short-term credit rating, the minimum rating must be as follows: </w:t>
      </w:r>
      <w:r w:rsidR="0041102B" w:rsidRPr="0041102B">
        <w:rPr>
          <w:spacing w:val="-1"/>
          <w:highlight w:val="yellow"/>
        </w:rPr>
        <w:t>_</w:t>
      </w:r>
      <w:r w:rsidR="00B6412E" w:rsidRPr="00BE5C21">
        <w:rPr>
          <w:spacing w:val="-1"/>
        </w:rPr>
        <w:t xml:space="preserve"> (by Moody’s), </w:t>
      </w:r>
      <w:r w:rsidR="0041102B" w:rsidRPr="0041102B">
        <w:rPr>
          <w:spacing w:val="-1"/>
          <w:highlight w:val="yellow"/>
        </w:rPr>
        <w:t>_</w:t>
      </w:r>
      <w:r w:rsidR="0041102B" w:rsidRPr="00BE5C21">
        <w:rPr>
          <w:spacing w:val="-1"/>
        </w:rPr>
        <w:t xml:space="preserve"> </w:t>
      </w:r>
      <w:r w:rsidR="00B6412E" w:rsidRPr="00BE5C21">
        <w:rPr>
          <w:spacing w:val="-1"/>
        </w:rPr>
        <w:t xml:space="preserve">(by </w:t>
      </w:r>
      <w:r w:rsidR="00B6412E" w:rsidRPr="00BE5C21">
        <w:rPr>
          <w:spacing w:val="2"/>
        </w:rPr>
        <w:t xml:space="preserve">Standard &amp; Poor’s) and/or </w:t>
      </w:r>
      <w:r w:rsidR="0041102B" w:rsidRPr="0041102B">
        <w:rPr>
          <w:spacing w:val="-1"/>
          <w:highlight w:val="yellow"/>
        </w:rPr>
        <w:t>_</w:t>
      </w:r>
      <w:r w:rsidR="0041102B" w:rsidRPr="00BE5C21">
        <w:rPr>
          <w:spacing w:val="2"/>
        </w:rPr>
        <w:t xml:space="preserve"> </w:t>
      </w:r>
      <w:r w:rsidR="00B6412E" w:rsidRPr="00BE5C21">
        <w:rPr>
          <w:spacing w:val="2"/>
        </w:rPr>
        <w:t xml:space="preserve">(by Fitch) and, where applicable, the minimum long-term credit rating must </w:t>
      </w:r>
      <w:r w:rsidR="00B6412E" w:rsidRPr="00BE5C21">
        <w:rPr>
          <w:spacing w:val="1"/>
        </w:rPr>
        <w:t xml:space="preserve">be as follows: </w:t>
      </w:r>
      <w:r w:rsidR="0041102B" w:rsidRPr="0041102B">
        <w:rPr>
          <w:spacing w:val="-1"/>
          <w:highlight w:val="yellow"/>
        </w:rPr>
        <w:t>_</w:t>
      </w:r>
      <w:r w:rsidR="0041102B" w:rsidRPr="00BE5C21">
        <w:rPr>
          <w:spacing w:val="1"/>
        </w:rPr>
        <w:t xml:space="preserve"> </w:t>
      </w:r>
      <w:r w:rsidR="00B6412E" w:rsidRPr="00BE5C21">
        <w:rPr>
          <w:spacing w:val="1"/>
        </w:rPr>
        <w:t xml:space="preserve">(by Moody’s), </w:t>
      </w:r>
      <w:r w:rsidR="0041102B" w:rsidRPr="0041102B">
        <w:rPr>
          <w:spacing w:val="-1"/>
          <w:highlight w:val="yellow"/>
        </w:rPr>
        <w:t>_</w:t>
      </w:r>
      <w:r w:rsidR="0041102B" w:rsidRPr="00BE5C21">
        <w:rPr>
          <w:spacing w:val="1"/>
        </w:rPr>
        <w:t xml:space="preserve"> </w:t>
      </w:r>
      <w:r w:rsidR="00B6412E" w:rsidRPr="00BE5C21">
        <w:rPr>
          <w:spacing w:val="1"/>
        </w:rPr>
        <w:t xml:space="preserve">(by Standard &amp; Poor’s) and/or </w:t>
      </w:r>
      <w:r w:rsidR="0041102B" w:rsidRPr="0041102B">
        <w:rPr>
          <w:spacing w:val="-1"/>
          <w:highlight w:val="yellow"/>
        </w:rPr>
        <w:t>_</w:t>
      </w:r>
      <w:r w:rsidR="0041102B" w:rsidRPr="00BE5C21">
        <w:rPr>
          <w:spacing w:val="1"/>
        </w:rPr>
        <w:t xml:space="preserve"> </w:t>
      </w:r>
      <w:r w:rsidR="00B6412E" w:rsidRPr="00BE5C21">
        <w:rPr>
          <w:spacing w:val="1"/>
        </w:rPr>
        <w:t xml:space="preserve">(by Fitch). For those investments with </w:t>
      </w:r>
      <w:r w:rsidR="00B6412E" w:rsidRPr="00BE5C21">
        <w:t xml:space="preserve">a long-term credit rating only, the minimum rating must be as follows: </w:t>
      </w:r>
      <w:r w:rsidR="00B6412E" w:rsidRPr="00292133">
        <w:t>A</w:t>
      </w:r>
      <w:r w:rsidR="00B6412E" w:rsidRPr="00BE5C21">
        <w:t xml:space="preserve"> (by Moody’s), </w:t>
      </w:r>
      <w:r w:rsidR="0041102B" w:rsidRPr="0041102B">
        <w:rPr>
          <w:spacing w:val="-1"/>
          <w:highlight w:val="yellow"/>
        </w:rPr>
        <w:t>_</w:t>
      </w:r>
      <w:r w:rsidR="0041102B" w:rsidRPr="00BE5C21">
        <w:t xml:space="preserve"> </w:t>
      </w:r>
      <w:r w:rsidR="00B6412E" w:rsidRPr="00BE5C21">
        <w:t xml:space="preserve">(by Standard &amp; Poor’s) and/or </w:t>
      </w:r>
      <w:r w:rsidR="0041102B" w:rsidRPr="0041102B">
        <w:rPr>
          <w:spacing w:val="-1"/>
          <w:highlight w:val="yellow"/>
        </w:rPr>
        <w:t>_</w:t>
      </w:r>
      <w:r w:rsidR="0041102B" w:rsidRPr="00BE5C21">
        <w:t xml:space="preserve"> </w:t>
      </w:r>
      <w:r w:rsidR="00B6412E" w:rsidRPr="00BE5C21">
        <w:t>(by Fitch)</w:t>
      </w:r>
      <w:r w:rsidRPr="00BE5C21">
        <w:t>.</w:t>
      </w:r>
      <w:r w:rsidRPr="00384120">
        <w:t xml:space="preserve"> </w:t>
      </w:r>
    </w:p>
    <w:p w14:paraId="47E7120B" w14:textId="77777777" w:rsidR="0041782C" w:rsidRDefault="00384120" w:rsidP="00F518A3">
      <w:pPr>
        <w:pStyle w:val="BodyText"/>
      </w:pPr>
      <w:r>
        <w:lastRenderedPageBreak/>
        <w:t>“</w:t>
      </w:r>
      <w:r w:rsidRPr="00F518A3">
        <w:rPr>
          <w:u w:val="single"/>
        </w:rPr>
        <w:t>Permitted Investment Products</w:t>
      </w:r>
      <w:r w:rsidR="00F518A3" w:rsidRPr="00384120">
        <w:t>”</w:t>
      </w:r>
      <w:r>
        <w:t xml:space="preserve"> shall mean any of the following: </w:t>
      </w:r>
    </w:p>
    <w:p w14:paraId="06ABF95B" w14:textId="77777777" w:rsidR="0041782C" w:rsidRPr="00384120" w:rsidRDefault="0041782C" w:rsidP="00865F37">
      <w:pPr>
        <w:pStyle w:val="LegalL6"/>
        <w:spacing w:after="0"/>
        <w:ind w:left="1496"/>
        <w:jc w:val="both"/>
      </w:pPr>
      <w:r w:rsidRPr="00384120">
        <w:t>Term Deposits (“</w:t>
      </w:r>
      <w:r w:rsidRPr="00384120">
        <w:rPr>
          <w:u w:val="single"/>
        </w:rPr>
        <w:t>Term Deposits</w:t>
      </w:r>
      <w:r w:rsidRPr="00384120">
        <w:t>”)</w:t>
      </w:r>
    </w:p>
    <w:p w14:paraId="0E89C4DE" w14:textId="379C263B" w:rsidR="0041782C" w:rsidRPr="00384120" w:rsidRDefault="0041782C" w:rsidP="00A44DFB">
      <w:pPr>
        <w:pStyle w:val="BodyText"/>
        <w:ind w:left="1496"/>
        <w:jc w:val="both"/>
      </w:pPr>
      <w:r w:rsidRPr="00384120">
        <w:t xml:space="preserve">A Term Deposit is an interest-bearing deposit that provides a specific rate of interest for a set </w:t>
      </w:r>
      <w:proofErr w:type="gramStart"/>
      <w:r w:rsidRPr="00384120">
        <w:t>period of time</w:t>
      </w:r>
      <w:proofErr w:type="gramEnd"/>
      <w:r w:rsidRPr="00384120">
        <w:t>. A Term Deposit is non-negotiable. The interest rate is an annual rate payable over the term (the number of days) of the deposit.  The interest rate and the yield to maturity are the same.</w:t>
      </w:r>
    </w:p>
    <w:p w14:paraId="565243F3" w14:textId="6945E2E6" w:rsidR="0041782C" w:rsidRPr="00384120" w:rsidRDefault="0041782C" w:rsidP="00865F37">
      <w:pPr>
        <w:pStyle w:val="LegalL6"/>
        <w:spacing w:after="0"/>
        <w:ind w:left="1496"/>
        <w:jc w:val="both"/>
      </w:pPr>
      <w:r w:rsidRPr="00384120">
        <w:t>Certificate of Deposit (“</w:t>
      </w:r>
      <w:r w:rsidRPr="00384120">
        <w:rPr>
          <w:u w:val="single"/>
        </w:rPr>
        <w:t>CD</w:t>
      </w:r>
      <w:r w:rsidRPr="00384120">
        <w:t>”)</w:t>
      </w:r>
      <w:r w:rsidR="00C743AE">
        <w:t xml:space="preserve"> / Money Market Account ("MMA")</w:t>
      </w:r>
    </w:p>
    <w:p w14:paraId="2D05B02C" w14:textId="24AC8B43" w:rsidR="0041782C" w:rsidRDefault="0041782C" w:rsidP="00A44DFB">
      <w:pPr>
        <w:pStyle w:val="BodyText"/>
        <w:ind w:left="1496"/>
        <w:jc w:val="both"/>
      </w:pPr>
      <w:r w:rsidRPr="00384120">
        <w:t>A CD</w:t>
      </w:r>
      <w:r w:rsidR="00C743AE">
        <w:t xml:space="preserve"> or MMA</w:t>
      </w:r>
      <w:r w:rsidRPr="00384120">
        <w:t xml:space="preserve"> is issued by a financial institution evidencing a deposit made for a set </w:t>
      </w:r>
      <w:proofErr w:type="gramStart"/>
      <w:r w:rsidRPr="00384120">
        <w:t>period of time</w:t>
      </w:r>
      <w:proofErr w:type="gramEnd"/>
      <w:r w:rsidRPr="00384120">
        <w:t xml:space="preserve"> that provides a specific rate of interest (the coupon). CDs</w:t>
      </w:r>
      <w:r w:rsidR="00C743AE">
        <w:t xml:space="preserve"> or MMAs</w:t>
      </w:r>
      <w:r w:rsidRPr="00384120">
        <w:t xml:space="preserve"> are negotiable.  When traded on the secondary market, the price is </w:t>
      </w:r>
      <w:r w:rsidRPr="00384120">
        <w:rPr>
          <w:spacing w:val="-1"/>
        </w:rPr>
        <w:t xml:space="preserve">determined by the set </w:t>
      </w:r>
      <w:proofErr w:type="gramStart"/>
      <w:r w:rsidRPr="00384120">
        <w:rPr>
          <w:spacing w:val="-1"/>
        </w:rPr>
        <w:t>period of time</w:t>
      </w:r>
      <w:proofErr w:type="gramEnd"/>
      <w:r w:rsidRPr="00384120">
        <w:rPr>
          <w:spacing w:val="-1"/>
        </w:rPr>
        <w:t xml:space="preserve"> for which the CD</w:t>
      </w:r>
      <w:r w:rsidR="00C743AE">
        <w:rPr>
          <w:spacing w:val="-1"/>
        </w:rPr>
        <w:t xml:space="preserve"> or MMA</w:t>
      </w:r>
      <w:r w:rsidRPr="00384120">
        <w:rPr>
          <w:spacing w:val="-1"/>
        </w:rPr>
        <w:t xml:space="preserve"> was issued, the coupon, the current market interest rate (the </w:t>
      </w:r>
      <w:r w:rsidRPr="00384120">
        <w:t>yield to maturity), the remaining life of the CD</w:t>
      </w:r>
      <w:r w:rsidR="00C743AE">
        <w:t xml:space="preserve"> or MMA</w:t>
      </w:r>
      <w:r w:rsidRPr="00384120">
        <w:t xml:space="preserve"> and the nominal or face value of the CD</w:t>
      </w:r>
      <w:r w:rsidR="00C743AE">
        <w:t xml:space="preserve"> or MMA</w:t>
      </w:r>
      <w:r w:rsidRPr="00384120">
        <w:t>.</w:t>
      </w:r>
    </w:p>
    <w:p w14:paraId="6DAEDEAF" w14:textId="067BCC4D" w:rsidR="001E1BD8" w:rsidRPr="00384120" w:rsidRDefault="00B94298" w:rsidP="00B94298">
      <w:pPr>
        <w:pStyle w:val="LegalL6"/>
        <w:spacing w:after="0"/>
        <w:ind w:left="1496"/>
        <w:jc w:val="both"/>
      </w:pPr>
      <w:r w:rsidRPr="00B94298">
        <w:t>Money Market Funds (“MMFs”)</w:t>
      </w:r>
    </w:p>
    <w:p w14:paraId="6465B8D7" w14:textId="18EF428C" w:rsidR="001F13FC" w:rsidRPr="001F13FC" w:rsidRDefault="001F13FC" w:rsidP="001F13FC">
      <w:pPr>
        <w:pStyle w:val="BodyText"/>
        <w:ind w:left="1496"/>
        <w:jc w:val="both"/>
        <w:rPr>
          <w:spacing w:val="-1"/>
        </w:rPr>
      </w:pPr>
      <w:r w:rsidRPr="001F13FC">
        <w:rPr>
          <w:spacing w:val="-1"/>
        </w:rPr>
        <w:t>ESMA regulated UCITS or 2a7 compliant.</w:t>
      </w:r>
    </w:p>
    <w:p w14:paraId="0778F843" w14:textId="33C1B7D8" w:rsidR="0041782C" w:rsidRPr="00AB663F" w:rsidRDefault="0041782C" w:rsidP="004C3A57">
      <w:pPr>
        <w:pStyle w:val="LegalL2"/>
        <w:ind w:firstLine="748"/>
      </w:pPr>
      <w:r w:rsidRPr="00AB663F">
        <w:t xml:space="preserve">Investment </w:t>
      </w:r>
      <w:r w:rsidR="00530F5D">
        <w:t xml:space="preserve">and Cash Balances </w:t>
      </w:r>
      <w:r w:rsidR="00470FA5" w:rsidRPr="00AB663F">
        <w:t>Guidelines</w:t>
      </w:r>
      <w:r w:rsidR="004C3A57" w:rsidRPr="00AB663F">
        <w:t xml:space="preserve"> on Allocations</w:t>
      </w:r>
    </w:p>
    <w:p w14:paraId="46D8DF7B" w14:textId="77777777" w:rsidR="00A44DFB" w:rsidRDefault="004C3A57" w:rsidP="00865F37">
      <w:pPr>
        <w:pStyle w:val="LegalL6"/>
        <w:spacing w:after="0"/>
        <w:ind w:left="1496"/>
      </w:pPr>
      <w:r w:rsidRPr="00AB663F">
        <w:t xml:space="preserve">Certain </w:t>
      </w:r>
      <w:r w:rsidR="00A44DFB" w:rsidRPr="00AB663F">
        <w:t>Restrictions</w:t>
      </w:r>
      <w:r w:rsidR="00D1731E" w:rsidRPr="00AB663F">
        <w:t xml:space="preserve"> </w:t>
      </w:r>
      <w:r w:rsidRPr="00AB663F">
        <w:t>with respect</w:t>
      </w:r>
      <w:r>
        <w:t xml:space="preserve"> to Allocations </w:t>
      </w:r>
      <w:r w:rsidR="00D1731E">
        <w:t>per Bank</w:t>
      </w:r>
    </w:p>
    <w:p w14:paraId="090253EB" w14:textId="42D9DCDC" w:rsidR="00D1731E" w:rsidRDefault="00530F5D" w:rsidP="00A0251A">
      <w:pPr>
        <w:pStyle w:val="BodyText"/>
        <w:ind w:left="1496"/>
        <w:jc w:val="both"/>
      </w:pPr>
      <w:r w:rsidRPr="00530F5D">
        <w:t xml:space="preserve">The company should maintain depository accounts with at least two banks with a minimum of one </w:t>
      </w:r>
      <w:r w:rsidR="00865F37">
        <w:t>of the top 10 leading banks</w:t>
      </w:r>
      <w:r>
        <w:t xml:space="preserve">. </w:t>
      </w:r>
      <w:r w:rsidR="00D1731E">
        <w:t xml:space="preserve">All Investments made through a single bank shall not </w:t>
      </w:r>
      <w:r w:rsidR="00D1731E" w:rsidRPr="003B4708">
        <w:t xml:space="preserve">exceed </w:t>
      </w:r>
      <w:r w:rsidR="00865F37">
        <w:t>6</w:t>
      </w:r>
      <w:r w:rsidR="00C743AE">
        <w:t>0% of the total available cash balances.</w:t>
      </w:r>
    </w:p>
    <w:p w14:paraId="395A16DE" w14:textId="10A471A3" w:rsidR="0041782C" w:rsidRPr="00384120" w:rsidRDefault="004C3A57" w:rsidP="00865F37">
      <w:pPr>
        <w:pStyle w:val="LegalL6"/>
        <w:spacing w:after="0"/>
        <w:ind w:left="1496"/>
      </w:pPr>
      <w:r>
        <w:t xml:space="preserve">Certain </w:t>
      </w:r>
      <w:r w:rsidR="0041782C" w:rsidRPr="00384120">
        <w:t xml:space="preserve">Restrictions </w:t>
      </w:r>
      <w:r>
        <w:t xml:space="preserve">with respect to </w:t>
      </w:r>
      <w:r w:rsidR="0041782C" w:rsidRPr="00384120">
        <w:t>Term Deposits</w:t>
      </w:r>
      <w:r w:rsidR="00C743AE">
        <w:t>, MMAs</w:t>
      </w:r>
      <w:r w:rsidR="0041782C" w:rsidRPr="00384120">
        <w:t xml:space="preserve"> and CDs</w:t>
      </w:r>
    </w:p>
    <w:p w14:paraId="502C1AD7" w14:textId="61CDE405" w:rsidR="0041782C" w:rsidRDefault="0041782C" w:rsidP="00A0251A">
      <w:pPr>
        <w:pStyle w:val="BodyText"/>
        <w:ind w:left="1496"/>
        <w:jc w:val="both"/>
        <w:rPr>
          <w:highlight w:val="yellow"/>
        </w:rPr>
      </w:pPr>
      <w:r w:rsidRPr="00384120">
        <w:t>All Term Deposits</w:t>
      </w:r>
      <w:r w:rsidR="00C743AE">
        <w:t>, MMAs</w:t>
      </w:r>
      <w:r w:rsidRPr="00384120">
        <w:t xml:space="preserve"> and CDs held with or issued by financial institutions must be held with or issued by established financial institutions regulated as to capital adequacy and other measures of financial soundness by a financial regulatory authority</w:t>
      </w:r>
      <w:r w:rsidR="004C3A57">
        <w:t xml:space="preserve">, as determined and approved by the </w:t>
      </w:r>
      <w:r w:rsidR="00A0251A">
        <w:t>Board</w:t>
      </w:r>
      <w:r w:rsidRPr="00384120">
        <w:t>.</w:t>
      </w:r>
      <w:r w:rsidR="00CC3A2C" w:rsidRPr="00384120">
        <w:t xml:space="preserve"> All Term Deposits</w:t>
      </w:r>
      <w:r w:rsidR="00C743AE">
        <w:t>, MMAs</w:t>
      </w:r>
      <w:r w:rsidR="00CC3A2C" w:rsidRPr="00384120">
        <w:t xml:space="preserve"> and CDs at current interest rate must have a maturit</w:t>
      </w:r>
      <w:r w:rsidR="00CC3A2C">
        <w:t xml:space="preserve">y of up to </w:t>
      </w:r>
      <w:r w:rsidR="00A0251A">
        <w:t>twelve</w:t>
      </w:r>
      <w:r w:rsidR="00CC3A2C">
        <w:t xml:space="preserve"> (</w:t>
      </w:r>
      <w:r w:rsidR="00A0251A">
        <w:t>12</w:t>
      </w:r>
      <w:r w:rsidR="00CC3A2C">
        <w:t xml:space="preserve">) </w:t>
      </w:r>
      <w:r w:rsidR="003B4708">
        <w:t>months and</w:t>
      </w:r>
      <w:r w:rsidR="00456535">
        <w:t xml:space="preserve"> shall be invested on </w:t>
      </w:r>
      <w:r w:rsidR="00E1604E">
        <w:t xml:space="preserve">a </w:t>
      </w:r>
      <w:r w:rsidR="00456535">
        <w:t>recurring basis.</w:t>
      </w:r>
      <w:r w:rsidR="00CC3A2C">
        <w:t xml:space="preserve"> </w:t>
      </w:r>
    </w:p>
    <w:p w14:paraId="47EF8E9D" w14:textId="57647E47" w:rsidR="00982809" w:rsidRPr="00384120" w:rsidRDefault="00982809" w:rsidP="00982809">
      <w:pPr>
        <w:pStyle w:val="LegalL6"/>
        <w:spacing w:line="276" w:lineRule="auto"/>
        <w:ind w:left="1496"/>
        <w:jc w:val="both"/>
      </w:pPr>
      <w:r w:rsidRPr="00982809">
        <w:t>For accounting purposes, all investments will be designated as “Available for Sale” as defined by FASB Accounting Codification ASC320, “Investments - Debt and Equity Securities.” Thus, investments may be sold prior to maturity to preserve capital or to provide required liquidity or for other reasons determined by the Investment Manager</w:t>
      </w:r>
    </w:p>
    <w:p w14:paraId="42B6AB99" w14:textId="77777777" w:rsidR="00982809" w:rsidRPr="00D1731E" w:rsidRDefault="00982809" w:rsidP="00A0251A">
      <w:pPr>
        <w:pStyle w:val="BodyText"/>
        <w:ind w:left="1496"/>
        <w:jc w:val="both"/>
        <w:rPr>
          <w:highlight w:val="yellow"/>
        </w:rPr>
      </w:pPr>
    </w:p>
    <w:p w14:paraId="470E7BED" w14:textId="03187219" w:rsidR="00F71C3B" w:rsidRPr="004E57E3" w:rsidRDefault="00F71C3B" w:rsidP="00F71C3B">
      <w:pPr>
        <w:pStyle w:val="LegalL1"/>
      </w:pPr>
      <w:r>
        <w:lastRenderedPageBreak/>
        <w:t xml:space="preserve">CURRENCY HEDGING </w:t>
      </w:r>
      <w:r w:rsidR="00E1604E">
        <w:t>ACTIVITIES</w:t>
      </w:r>
      <w:r>
        <w:t xml:space="preserve"> </w:t>
      </w:r>
    </w:p>
    <w:p w14:paraId="11B51A6D" w14:textId="7646DC42" w:rsidR="00AD42D2" w:rsidRDefault="00AD42D2" w:rsidP="00E32C0C">
      <w:pPr>
        <w:pStyle w:val="BodyText"/>
        <w:jc w:val="both"/>
      </w:pPr>
      <w:r w:rsidRPr="003A09E6">
        <w:t xml:space="preserve">All </w:t>
      </w:r>
      <w:r w:rsidR="00384120" w:rsidRPr="003A09E6">
        <w:t xml:space="preserve">Currency Hedging activities </w:t>
      </w:r>
      <w:r w:rsidR="00E463DA" w:rsidRPr="003A09E6">
        <w:t xml:space="preserve">shall </w:t>
      </w:r>
      <w:r w:rsidR="003B4708">
        <w:t xml:space="preserve">be </w:t>
      </w:r>
      <w:r w:rsidR="00E463DA" w:rsidRPr="003A09E6">
        <w:t xml:space="preserve">conducted with the purpose of </w:t>
      </w:r>
      <w:r w:rsidR="00000472" w:rsidRPr="003A09E6">
        <w:t xml:space="preserve">mitigating the exposure of foreign currency fluctuations relative to the </w:t>
      </w:r>
      <w:r w:rsidR="00000472" w:rsidRPr="003B4708">
        <w:t>US Dollar</w:t>
      </w:r>
      <w:r w:rsidR="00000472" w:rsidRPr="003A09E6">
        <w:t xml:space="preserve"> in which currency </w:t>
      </w:r>
      <w:r w:rsidRPr="003A09E6">
        <w:t xml:space="preserve">the Company’s balance sheet </w:t>
      </w:r>
      <w:r w:rsidR="00000472" w:rsidRPr="003A09E6">
        <w:t xml:space="preserve">is reported and its </w:t>
      </w:r>
      <w:r w:rsidRPr="003A09E6">
        <w:t>annual operating plan</w:t>
      </w:r>
      <w:r w:rsidR="00000472" w:rsidRPr="003A09E6">
        <w:t xml:space="preserve"> is prepared and approved</w:t>
      </w:r>
      <w:r w:rsidRPr="003A09E6">
        <w:t xml:space="preserve">. </w:t>
      </w:r>
      <w:r w:rsidR="00E32C0C" w:rsidRPr="003A09E6">
        <w:t xml:space="preserve">Hedging will be subject to </w:t>
      </w:r>
      <w:r w:rsidR="003A09E6" w:rsidRPr="003A09E6">
        <w:t xml:space="preserve">the </w:t>
      </w:r>
      <w:r w:rsidR="00E32C0C" w:rsidRPr="003A09E6">
        <w:t>Foreign Currency Risk Management Policy (</w:t>
      </w:r>
      <w:r w:rsidR="00E32C0C" w:rsidRPr="001E4EF5">
        <w:rPr>
          <w:u w:val="single"/>
        </w:rPr>
        <w:t>Appendix A</w:t>
      </w:r>
      <w:r w:rsidR="00E32C0C" w:rsidRPr="003A09E6">
        <w:t>)</w:t>
      </w:r>
      <w:r w:rsidR="003A09E6" w:rsidRPr="003A09E6">
        <w:t>.</w:t>
      </w:r>
    </w:p>
    <w:p w14:paraId="52C00909" w14:textId="77777777" w:rsidR="008D74DE" w:rsidRDefault="008D74DE">
      <w:pPr>
        <w:spacing w:after="0"/>
        <w:rPr>
          <w:b/>
          <w:bCs/>
        </w:rPr>
      </w:pPr>
      <w:r>
        <w:rPr>
          <w:b/>
          <w:bCs/>
        </w:rPr>
        <w:br w:type="page"/>
      </w:r>
    </w:p>
    <w:p w14:paraId="481B59A1" w14:textId="3E8A17CE" w:rsidR="003A09E6" w:rsidRPr="003A09E6" w:rsidRDefault="003A09E6" w:rsidP="003A09E6">
      <w:pPr>
        <w:pStyle w:val="BodyText"/>
        <w:jc w:val="center"/>
        <w:rPr>
          <w:b/>
          <w:bCs/>
          <w:rtl/>
          <w:lang w:bidi="he-IL"/>
        </w:rPr>
      </w:pPr>
      <w:r w:rsidRPr="003A09E6">
        <w:rPr>
          <w:b/>
          <w:bCs/>
        </w:rPr>
        <w:lastRenderedPageBreak/>
        <w:t>Appendix A</w:t>
      </w:r>
    </w:p>
    <w:p w14:paraId="5C4A60DC" w14:textId="77777777" w:rsidR="003A09E6" w:rsidRPr="003A09E6" w:rsidRDefault="003A09E6" w:rsidP="003A09E6">
      <w:pPr>
        <w:pStyle w:val="BodyText"/>
        <w:jc w:val="center"/>
        <w:rPr>
          <w:b/>
          <w:bCs/>
        </w:rPr>
      </w:pPr>
      <w:r w:rsidRPr="003A09E6">
        <w:rPr>
          <w:b/>
          <w:bCs/>
        </w:rPr>
        <w:t>Foreign Currency Risk Management Policy</w:t>
      </w:r>
    </w:p>
    <w:p w14:paraId="2C72BCED" w14:textId="77777777" w:rsidR="003A09E6" w:rsidRPr="003A09E6" w:rsidRDefault="003A09E6" w:rsidP="00417172">
      <w:pPr>
        <w:pStyle w:val="LegalL1"/>
        <w:numPr>
          <w:ilvl w:val="0"/>
          <w:numId w:val="28"/>
        </w:numPr>
        <w:jc w:val="both"/>
        <w:rPr>
          <w:bCs/>
        </w:rPr>
      </w:pPr>
      <w:r w:rsidRPr="003A09E6">
        <w:rPr>
          <w:bCs/>
        </w:rPr>
        <w:t>OBJECTIVE</w:t>
      </w:r>
    </w:p>
    <w:p w14:paraId="48C6A43E" w14:textId="4299F4FB" w:rsidR="003A09E6" w:rsidRDefault="003A09E6" w:rsidP="00580EA4">
      <w:pPr>
        <w:pStyle w:val="BodyText"/>
        <w:jc w:val="both"/>
      </w:pPr>
      <w:r>
        <w:t xml:space="preserve">The objective of the foreign currency </w:t>
      </w:r>
      <w:r w:rsidR="00580EA4">
        <w:t>(</w:t>
      </w:r>
      <w:r w:rsidR="00580EA4">
        <w:rPr>
          <w:bCs/>
        </w:rPr>
        <w:t>“</w:t>
      </w:r>
      <w:r w:rsidR="00580EA4">
        <w:rPr>
          <w:bCs/>
          <w:u w:val="single"/>
        </w:rPr>
        <w:t>FX</w:t>
      </w:r>
      <w:r w:rsidR="00580EA4">
        <w:rPr>
          <w:bCs/>
        </w:rPr>
        <w:t xml:space="preserve">”) </w:t>
      </w:r>
      <w:r>
        <w:t xml:space="preserve">risk management policy is to significantly reduce the effects of exchange rate changes on </w:t>
      </w:r>
      <w:r w:rsidR="00C743AE">
        <w:t xml:space="preserve">the </w:t>
      </w:r>
      <w:r>
        <w:t>financial results</w:t>
      </w:r>
      <w:r w:rsidR="00580EA4" w:rsidRPr="00580EA4">
        <w:t xml:space="preserve"> </w:t>
      </w:r>
      <w:r w:rsidR="00580EA4">
        <w:t xml:space="preserve">of the </w:t>
      </w:r>
      <w:r w:rsidR="00580EA4" w:rsidRPr="00003B9B">
        <w:rPr>
          <w:bCs/>
        </w:rPr>
        <w:t>Company</w:t>
      </w:r>
      <w:r>
        <w:t>. More specifically, to protect the cash flow and planned profit in respect of the Company’s work plan (</w:t>
      </w:r>
      <w:r w:rsidR="00580EA4">
        <w:t xml:space="preserve">the </w:t>
      </w:r>
      <w:r w:rsidR="00580EA4">
        <w:rPr>
          <w:bCs/>
        </w:rPr>
        <w:t>“</w:t>
      </w:r>
      <w:r w:rsidR="00580EA4">
        <w:rPr>
          <w:bCs/>
          <w:u w:val="single"/>
        </w:rPr>
        <w:t>Budget</w:t>
      </w:r>
      <w:r w:rsidR="00580EA4">
        <w:rPr>
          <w:bCs/>
        </w:rPr>
        <w:t xml:space="preserve">”) </w:t>
      </w:r>
      <w:r>
        <w:t>in terms of the Company’s functional currency. The purpose of the policy is to define suitable work processes when dealing with different types of exposures.</w:t>
      </w:r>
    </w:p>
    <w:p w14:paraId="0797B7B1" w14:textId="77777777" w:rsidR="003A09E6" w:rsidRDefault="00D86882" w:rsidP="00417172">
      <w:pPr>
        <w:pStyle w:val="LegalL1"/>
        <w:jc w:val="both"/>
      </w:pPr>
      <w:r>
        <w:t>FUNCTIONAL CURRENCY</w:t>
      </w:r>
    </w:p>
    <w:p w14:paraId="626EBA9F" w14:textId="7971CB87" w:rsidR="003A09E6" w:rsidRDefault="003A09E6" w:rsidP="00872D03">
      <w:pPr>
        <w:pStyle w:val="BodyText"/>
        <w:jc w:val="both"/>
      </w:pPr>
      <w:r>
        <w:t xml:space="preserve">The Company’s functional currency is </w:t>
      </w:r>
      <w:r w:rsidR="00580EA4" w:rsidRPr="00872D03">
        <w:t>t</w:t>
      </w:r>
      <w:r w:rsidRPr="00872D03">
        <w:t xml:space="preserve">he US Dollar </w:t>
      </w:r>
      <w:r w:rsidR="00580EA4" w:rsidRPr="00872D03">
        <w:t>(</w:t>
      </w:r>
      <w:r w:rsidR="00580EA4" w:rsidRPr="00872D03">
        <w:rPr>
          <w:bCs/>
        </w:rPr>
        <w:t>“</w:t>
      </w:r>
      <w:r w:rsidR="00580EA4" w:rsidRPr="00872D03">
        <w:rPr>
          <w:bCs/>
          <w:u w:val="single"/>
        </w:rPr>
        <w:t>USD</w:t>
      </w:r>
      <w:r w:rsidR="00580EA4" w:rsidRPr="00872D03">
        <w:rPr>
          <w:bCs/>
        </w:rPr>
        <w:t>”)</w:t>
      </w:r>
      <w:r>
        <w:t xml:space="preserve">. All assets/liabilities, revenues/expenses or cash inflows/outflows denominated in (or linked to) currencies other than the USD expose the </w:t>
      </w:r>
      <w:r w:rsidR="00580EA4">
        <w:t xml:space="preserve">Company </w:t>
      </w:r>
      <w:r>
        <w:t>to FX risk.</w:t>
      </w:r>
    </w:p>
    <w:p w14:paraId="4CFA3DE0" w14:textId="77777777" w:rsidR="003A09E6" w:rsidRDefault="00D86882" w:rsidP="00417172">
      <w:pPr>
        <w:pStyle w:val="LegalL1"/>
        <w:jc w:val="both"/>
      </w:pPr>
      <w:r>
        <w:t>FX EXPOSURE TYPOLOGY</w:t>
      </w:r>
    </w:p>
    <w:p w14:paraId="3724AB98" w14:textId="77777777" w:rsidR="003A09E6" w:rsidRDefault="003A09E6" w:rsidP="00417172">
      <w:pPr>
        <w:pStyle w:val="LegalL2"/>
        <w:ind w:firstLine="748"/>
        <w:jc w:val="both"/>
      </w:pPr>
      <w:r>
        <w:t xml:space="preserve">Fair Value exposure - Refers to the effects of exchange rate fluctuations on the financial items in the balance sheet (e.g. trade receivables, employee's related obligations, deposits etc.). A differentiation is made between two types of Fair Value exposures: </w:t>
      </w:r>
    </w:p>
    <w:p w14:paraId="14D7AB4E" w14:textId="77777777" w:rsidR="003A09E6" w:rsidRDefault="003A09E6" w:rsidP="00580EA4">
      <w:pPr>
        <w:pStyle w:val="LegalL3"/>
        <w:spacing w:line="240" w:lineRule="auto"/>
        <w:jc w:val="both"/>
      </w:pPr>
      <w:r>
        <w:t xml:space="preserve">Permanent exposure - derives from static balance sheet items (long term debt, severance pay etc.), which has no immediate effect on the cash flow. These items are revaluated from one reporting period to the </w:t>
      </w:r>
      <w:proofErr w:type="gramStart"/>
      <w:r>
        <w:t>next, and</w:t>
      </w:r>
      <w:proofErr w:type="gramEnd"/>
      <w:r>
        <w:t xml:space="preserve"> </w:t>
      </w:r>
      <w:r w:rsidR="00580EA4">
        <w:t>generate</w:t>
      </w:r>
      <w:r>
        <w:t xml:space="preserve"> finance income/expenses.</w:t>
      </w:r>
    </w:p>
    <w:p w14:paraId="30D394F2" w14:textId="77777777" w:rsidR="003A09E6" w:rsidRDefault="003A09E6" w:rsidP="00417172">
      <w:pPr>
        <w:pStyle w:val="LegalL3"/>
        <w:spacing w:line="240" w:lineRule="auto"/>
        <w:jc w:val="both"/>
      </w:pPr>
      <w:r>
        <w:t>Current exposure - derives from dynamic balance sheet items (accounts receivable, accounts payable etc.), which affect the cash flow in the short term, and are revaluated to the payment date.</w:t>
      </w:r>
    </w:p>
    <w:p w14:paraId="4005D7F0" w14:textId="77777777" w:rsidR="003A09E6" w:rsidRDefault="003A09E6" w:rsidP="00580EA4">
      <w:pPr>
        <w:pStyle w:val="BodyText"/>
        <w:jc w:val="both"/>
      </w:pPr>
      <w:r>
        <w:tab/>
      </w:r>
      <w:r w:rsidR="00580EA4">
        <w:t xml:space="preserve">The effect of </w:t>
      </w:r>
      <w:r>
        <w:t xml:space="preserve">Fair Values exposures on the P&amp;L is usually attributed to finance </w:t>
      </w:r>
      <w:r w:rsidR="00D86882">
        <w:t>e</w:t>
      </w:r>
      <w:r>
        <w:t xml:space="preserve">xpenses/income, and in some cases, can be attributed to Other Comprehensive Income </w:t>
      </w:r>
      <w:r w:rsidR="00580EA4">
        <w:t>(</w:t>
      </w:r>
      <w:r w:rsidR="00580EA4">
        <w:rPr>
          <w:bCs/>
        </w:rPr>
        <w:t>“</w:t>
      </w:r>
      <w:r w:rsidR="00580EA4">
        <w:rPr>
          <w:bCs/>
          <w:u w:val="single"/>
        </w:rPr>
        <w:t>OCI</w:t>
      </w:r>
      <w:r w:rsidR="00580EA4">
        <w:rPr>
          <w:bCs/>
        </w:rPr>
        <w:t>”)</w:t>
      </w:r>
      <w:r>
        <w:t>.</w:t>
      </w:r>
    </w:p>
    <w:p w14:paraId="3B39EBBA" w14:textId="77777777" w:rsidR="003A09E6" w:rsidRDefault="003A09E6" w:rsidP="00580EA4">
      <w:pPr>
        <w:pStyle w:val="LegalL2"/>
        <w:ind w:firstLine="748"/>
        <w:jc w:val="both"/>
      </w:pPr>
      <w:r>
        <w:t>Transaction exposure - Describes the effect of FX fluctuations on the value of future revenues/expenses that are not yet reflected in the financial statements. Transaction exposure can be both contractual and forecasted. The exposure begins upon planning and ends when an accounting entry is made.</w:t>
      </w:r>
    </w:p>
    <w:p w14:paraId="38151ABC" w14:textId="4310FDC2" w:rsidR="003A09E6" w:rsidRDefault="003A09E6" w:rsidP="00580EA4">
      <w:pPr>
        <w:pStyle w:val="BodyText"/>
        <w:jc w:val="both"/>
      </w:pPr>
      <w:r>
        <w:t xml:space="preserve">We can group the Transaction exposure and the Current Fair Value exposure into one consecutive exposure - Cash Flow exposure. The Cash Flow exposure describes the effect of FX fluctuations on the value of the </w:t>
      </w:r>
      <w:r w:rsidR="00AF1A29">
        <w:t xml:space="preserve">Company's </w:t>
      </w:r>
      <w:r>
        <w:t>cash inflows/outflows. The exposure begins upon planning and ends when the monetary transaction is completed.</w:t>
      </w:r>
    </w:p>
    <w:p w14:paraId="1CAF61CF" w14:textId="77777777" w:rsidR="003A09E6" w:rsidRDefault="003A09E6" w:rsidP="00417172">
      <w:pPr>
        <w:pStyle w:val="BodyText"/>
        <w:jc w:val="both"/>
      </w:pPr>
      <w:r>
        <w:t xml:space="preserve"> </w:t>
      </w:r>
    </w:p>
    <w:p w14:paraId="4D798FDC" w14:textId="77777777" w:rsidR="003A09E6" w:rsidRDefault="00D86882" w:rsidP="00417172">
      <w:pPr>
        <w:pStyle w:val="LegalL1"/>
        <w:jc w:val="both"/>
      </w:pPr>
      <w:r>
        <w:lastRenderedPageBreak/>
        <w:t>HEDGING</w:t>
      </w:r>
    </w:p>
    <w:p w14:paraId="4B90C450" w14:textId="77777777" w:rsidR="003A09E6" w:rsidRDefault="003A09E6" w:rsidP="00417172">
      <w:pPr>
        <w:pStyle w:val="LegalL2"/>
        <w:ind w:firstLine="748"/>
        <w:jc w:val="both"/>
      </w:pPr>
      <w:r>
        <w:t>Hedging Scope</w:t>
      </w:r>
    </w:p>
    <w:p w14:paraId="0BC7FF4B" w14:textId="780D1C69" w:rsidR="003A09E6" w:rsidRDefault="003A09E6" w:rsidP="00AF1A29">
      <w:pPr>
        <w:pStyle w:val="BodyText"/>
        <w:ind w:firstLine="720"/>
        <w:jc w:val="both"/>
      </w:pPr>
      <w:r>
        <w:t xml:space="preserve">The hedging scope may vary between </w:t>
      </w:r>
      <w:r w:rsidR="00D657E9" w:rsidRPr="00D657E9">
        <w:rPr>
          <w:highlight w:val="yellow"/>
        </w:rPr>
        <w:t>__</w:t>
      </w:r>
      <w:r w:rsidRPr="00D657E9">
        <w:rPr>
          <w:highlight w:val="yellow"/>
        </w:rPr>
        <w:t>%</w:t>
      </w:r>
      <w:r>
        <w:t xml:space="preserve"> and 100% of the monthly exposure. </w:t>
      </w:r>
      <w:r w:rsidR="00E1604E">
        <w:t>H</w:t>
      </w:r>
      <w:r>
        <w:t xml:space="preserve">edging tables may be used as a benchmark when deciding the hedging scope. All exposures in local currency </w:t>
      </w:r>
      <w:r w:rsidR="00AF1A29">
        <w:t>equivalent</w:t>
      </w:r>
      <w:r w:rsidR="00E1604E">
        <w:t xml:space="preserve"> or higher</w:t>
      </w:r>
      <w:r w:rsidR="00AF1A29">
        <w:t xml:space="preserve"> </w:t>
      </w:r>
      <w:r>
        <w:t xml:space="preserve">of </w:t>
      </w:r>
      <w:r w:rsidRPr="0001501F">
        <w:t xml:space="preserve">USD </w:t>
      </w:r>
      <w:r w:rsidR="00D657E9" w:rsidRPr="00D657E9">
        <w:rPr>
          <w:highlight w:val="yellow"/>
        </w:rPr>
        <w:t>_________</w:t>
      </w:r>
      <w:r>
        <w:t xml:space="preserve"> needs to be considered for hedging, should the commercial terms be acceptable. Any exposure lower than that will be evaluated separately if hedging is considered.</w:t>
      </w:r>
      <w:r w:rsidR="00C743AE">
        <w:t xml:space="preserve"> The Company intends to hedge mainly the non-USD expenses on a </w:t>
      </w:r>
      <w:r w:rsidR="008A6DD7">
        <w:t xml:space="preserve">minimum of </w:t>
      </w:r>
      <w:r w:rsidR="00AA3320" w:rsidRPr="00AA3320">
        <w:rPr>
          <w:highlight w:val="yellow"/>
        </w:rPr>
        <w:t>_</w:t>
      </w:r>
      <w:r w:rsidR="00C743AE">
        <w:t xml:space="preserve">-months </w:t>
      </w:r>
      <w:r w:rsidR="008A6DD7">
        <w:t xml:space="preserve">rolling </w:t>
      </w:r>
      <w:r w:rsidR="00C743AE">
        <w:t>forward basis.</w:t>
      </w:r>
    </w:p>
    <w:p w14:paraId="129985A3" w14:textId="77777777" w:rsidR="003A09E6" w:rsidRDefault="003A09E6" w:rsidP="00417172">
      <w:pPr>
        <w:pStyle w:val="LegalL2"/>
        <w:ind w:firstLine="748"/>
        <w:jc w:val="both"/>
      </w:pPr>
      <w:r>
        <w:t>Hedging Policy Costs</w:t>
      </w:r>
    </w:p>
    <w:p w14:paraId="26A88A32" w14:textId="1E10BFE5" w:rsidR="003A09E6" w:rsidRDefault="003A09E6" w:rsidP="00417172">
      <w:pPr>
        <w:pStyle w:val="BodyText"/>
        <w:ind w:firstLine="720"/>
        <w:jc w:val="both"/>
      </w:pPr>
      <w:r>
        <w:t xml:space="preserve">It is recommended that the direct costs incurred at the time of purchase or sale of a financial derivative be </w:t>
      </w:r>
      <w:r w:rsidR="00E1604E">
        <w:t>at zero cost</w:t>
      </w:r>
      <w:r>
        <w:t>.</w:t>
      </w:r>
    </w:p>
    <w:p w14:paraId="2ACA5AAF" w14:textId="77777777" w:rsidR="003A09E6" w:rsidRDefault="00D86882" w:rsidP="00417172">
      <w:pPr>
        <w:pStyle w:val="LegalL1"/>
        <w:jc w:val="both"/>
      </w:pPr>
      <w:r>
        <w:t>ACCOUNTING RECOGNITION</w:t>
      </w:r>
    </w:p>
    <w:p w14:paraId="3005C018" w14:textId="77777777" w:rsidR="003A09E6" w:rsidRDefault="003A09E6" w:rsidP="00417172">
      <w:pPr>
        <w:pStyle w:val="BodyText"/>
        <w:ind w:firstLine="720"/>
        <w:jc w:val="both"/>
      </w:pPr>
      <w:r>
        <w:t xml:space="preserve">Financial derivatives are registered at their fair value, and therefore a periodic revaluation of the hedging positions is required. Unless hedge accounting is implemented, all changes in the positions' fair value (including upon expiration) are registered to the </w:t>
      </w:r>
      <w:r w:rsidR="00AF1A29">
        <w:t xml:space="preserve">Company's </w:t>
      </w:r>
      <w:r>
        <w:t>P&amp;L report (under finance income/expense).</w:t>
      </w:r>
    </w:p>
    <w:p w14:paraId="67A72E5C" w14:textId="77777777" w:rsidR="003A09E6" w:rsidRDefault="003A09E6" w:rsidP="00417172">
      <w:pPr>
        <w:pStyle w:val="BodyText"/>
        <w:jc w:val="both"/>
      </w:pPr>
      <w:r>
        <w:t xml:space="preserve">Two issues should be taken into consideration: </w:t>
      </w:r>
    </w:p>
    <w:p w14:paraId="13AA70DE" w14:textId="77777777" w:rsidR="003A09E6" w:rsidRDefault="003A09E6" w:rsidP="00417172">
      <w:pPr>
        <w:pStyle w:val="BodyText"/>
        <w:jc w:val="both"/>
      </w:pPr>
      <w:r>
        <w:t>-</w:t>
      </w:r>
      <w:r>
        <w:tab/>
        <w:t>The results of the hedging activity will not be reflected in the hedged top line items, but rather by offsetting in the Net Profit.</w:t>
      </w:r>
    </w:p>
    <w:p w14:paraId="0CB8A847" w14:textId="77777777" w:rsidR="003A09E6" w:rsidRDefault="003A09E6" w:rsidP="00417172">
      <w:pPr>
        <w:pStyle w:val="BodyText"/>
        <w:jc w:val="both"/>
      </w:pPr>
      <w:r>
        <w:t>-</w:t>
      </w:r>
      <w:r>
        <w:tab/>
        <w:t xml:space="preserve">As the </w:t>
      </w:r>
      <w:r w:rsidR="00AF1A29">
        <w:t xml:space="preserve">Company </w:t>
      </w:r>
      <w:r>
        <w:t>hedges exposures which have yet to be recognized (Transactions exposure), volatility of finance income/expense may significantly exceed the volatility of the hedged top-line items (in terms of amounts).</w:t>
      </w:r>
    </w:p>
    <w:p w14:paraId="135D01C9" w14:textId="52958AC9" w:rsidR="00417172" w:rsidRDefault="0001501F" w:rsidP="00AA3320">
      <w:pPr>
        <w:pStyle w:val="BodyText"/>
        <w:jc w:val="both"/>
      </w:pPr>
      <w:r>
        <w:t>If</w:t>
      </w:r>
      <w:r w:rsidR="003A09E6">
        <w:t xml:space="preserve"> hedge accounting is implemented, changes in fair value will be registered to OCI, and will not affect the P&amp;L report. Upon expiration, the accumulated fair value will be registered to the top-line hedge item. Implementation of hedge accounting is a decision to be made by the </w:t>
      </w:r>
      <w:r w:rsidRPr="000520BA">
        <w:rPr>
          <w:highlight w:val="yellow"/>
        </w:rPr>
        <w:t>CFO</w:t>
      </w:r>
      <w:r w:rsidR="003A09E6">
        <w:t>.</w:t>
      </w:r>
    </w:p>
    <w:p w14:paraId="0ED6DC3E" w14:textId="77777777" w:rsidR="00AA3320" w:rsidRDefault="00AA3320" w:rsidP="00AA3320">
      <w:pPr>
        <w:pStyle w:val="BodyText"/>
        <w:jc w:val="both"/>
        <w:rPr>
          <w:b/>
          <w:szCs w:val="20"/>
        </w:rPr>
      </w:pPr>
    </w:p>
    <w:p w14:paraId="721A24A1" w14:textId="77777777" w:rsidR="003A09E6" w:rsidRDefault="00D86882" w:rsidP="00417172">
      <w:pPr>
        <w:pStyle w:val="LegalL1"/>
        <w:jc w:val="both"/>
      </w:pPr>
      <w:r>
        <w:t>EXECUTION OF HEDGING TRANSACTIONS</w:t>
      </w:r>
    </w:p>
    <w:p w14:paraId="6FFC1F8F" w14:textId="093A9A05" w:rsidR="003A09E6" w:rsidRDefault="00AF1A29" w:rsidP="00AF1A29">
      <w:pPr>
        <w:pStyle w:val="BodyText"/>
        <w:ind w:firstLine="720"/>
        <w:jc w:val="both"/>
      </w:pPr>
      <w:proofErr w:type="gramStart"/>
      <w:r>
        <w:t>In the event that</w:t>
      </w:r>
      <w:proofErr w:type="gramEnd"/>
      <w:r>
        <w:t xml:space="preserve"> the C</w:t>
      </w:r>
      <w:r w:rsidR="003A09E6">
        <w:t>ompany decide</w:t>
      </w:r>
      <w:r>
        <w:t>s</w:t>
      </w:r>
      <w:r w:rsidR="003A09E6">
        <w:t xml:space="preserve"> on executing hedging transactions (with the exception of deposits/loans), a broker </w:t>
      </w:r>
      <w:r w:rsidR="0001501F">
        <w:t>may</w:t>
      </w:r>
      <w:r w:rsidR="003A09E6">
        <w:t xml:space="preserve"> be approached in order to negotiate the pricing with the relevant counterparties (banks), based on third party pricing systems. Once a transaction has been executed, it will be recorded in a hedging status report, which specifies all open hedging transactions and cash flow exposures.</w:t>
      </w:r>
    </w:p>
    <w:p w14:paraId="3653A085" w14:textId="77777777" w:rsidR="003A09E6" w:rsidRDefault="00D86882" w:rsidP="00417172">
      <w:pPr>
        <w:pStyle w:val="LegalL1"/>
        <w:jc w:val="both"/>
      </w:pPr>
      <w:r>
        <w:lastRenderedPageBreak/>
        <w:t>DOCUMENTATION</w:t>
      </w:r>
    </w:p>
    <w:p w14:paraId="4141D3A0" w14:textId="77777777" w:rsidR="003A09E6" w:rsidRDefault="003A09E6" w:rsidP="00417172">
      <w:pPr>
        <w:pStyle w:val="BodyText"/>
        <w:jc w:val="both"/>
      </w:pPr>
      <w:r>
        <w:t>The following papers will be documented by the finance department:</w:t>
      </w:r>
    </w:p>
    <w:p w14:paraId="15607BA4" w14:textId="77777777" w:rsidR="003A09E6" w:rsidRDefault="003A09E6" w:rsidP="00417172">
      <w:pPr>
        <w:pStyle w:val="BodyText"/>
        <w:numPr>
          <w:ilvl w:val="0"/>
          <w:numId w:val="49"/>
        </w:numPr>
        <w:spacing w:after="0"/>
        <w:jc w:val="both"/>
      </w:pPr>
      <w:r>
        <w:t>Confirmation of execution of transactions, received from banks/broker.</w:t>
      </w:r>
    </w:p>
    <w:p w14:paraId="3174063D" w14:textId="77777777" w:rsidR="003A09E6" w:rsidRDefault="003A09E6" w:rsidP="00417172">
      <w:pPr>
        <w:pStyle w:val="BodyText"/>
        <w:numPr>
          <w:ilvl w:val="0"/>
          <w:numId w:val="49"/>
        </w:numPr>
        <w:spacing w:after="0"/>
        <w:jc w:val="both"/>
      </w:pPr>
      <w:r>
        <w:t>Monthly fair value evaluation of the open hedging transactions.</w:t>
      </w:r>
    </w:p>
    <w:p w14:paraId="4B202CD3" w14:textId="77777777" w:rsidR="003A09E6" w:rsidRDefault="003A09E6" w:rsidP="00417172">
      <w:pPr>
        <w:pStyle w:val="BodyText"/>
        <w:numPr>
          <w:ilvl w:val="0"/>
          <w:numId w:val="49"/>
        </w:numPr>
        <w:spacing w:after="0"/>
        <w:jc w:val="both"/>
      </w:pPr>
      <w:r>
        <w:t>Hedging status reports.</w:t>
      </w:r>
    </w:p>
    <w:p w14:paraId="2C646C40" w14:textId="77777777" w:rsidR="00D86882" w:rsidRDefault="00D86882" w:rsidP="00417172">
      <w:pPr>
        <w:pStyle w:val="BodyText"/>
        <w:spacing w:after="0"/>
        <w:ind w:left="1080"/>
        <w:jc w:val="both"/>
      </w:pPr>
    </w:p>
    <w:p w14:paraId="2399A5AC" w14:textId="77777777" w:rsidR="003A09E6" w:rsidRDefault="00D86882" w:rsidP="00417172">
      <w:pPr>
        <w:pStyle w:val="LegalL1"/>
        <w:jc w:val="both"/>
      </w:pPr>
      <w:r>
        <w:t xml:space="preserve">REPORTING </w:t>
      </w:r>
    </w:p>
    <w:p w14:paraId="587589D4" w14:textId="77777777" w:rsidR="003A09E6" w:rsidRDefault="003A09E6" w:rsidP="00AF1A29">
      <w:pPr>
        <w:pStyle w:val="BodyText"/>
        <w:jc w:val="both"/>
      </w:pPr>
      <w:r>
        <w:t>Quarterly reports will be prepared for the Board of Directors.</w:t>
      </w:r>
    </w:p>
    <w:p w14:paraId="30357BC2" w14:textId="77777777" w:rsidR="003A09E6" w:rsidRDefault="003A09E6" w:rsidP="00417172">
      <w:pPr>
        <w:pStyle w:val="BodyText"/>
        <w:jc w:val="both"/>
      </w:pPr>
      <w:r>
        <w:t>The reports will include:</w:t>
      </w:r>
    </w:p>
    <w:p w14:paraId="0ED990FB" w14:textId="77777777" w:rsidR="003A09E6" w:rsidRDefault="003A09E6" w:rsidP="00417172">
      <w:pPr>
        <w:pStyle w:val="BodyText"/>
        <w:jc w:val="both"/>
      </w:pPr>
      <w:r>
        <w:t xml:space="preserve">(a) Hedging Status report. </w:t>
      </w:r>
    </w:p>
    <w:p w14:paraId="4B9B95F2" w14:textId="77777777" w:rsidR="003A09E6" w:rsidRDefault="003A09E6" w:rsidP="00417172">
      <w:pPr>
        <w:pStyle w:val="BodyText"/>
        <w:jc w:val="both"/>
      </w:pPr>
      <w:r>
        <w:t>(b) Fair Value report of all open hedging transactions.</w:t>
      </w:r>
    </w:p>
    <w:p w14:paraId="2AD43790" w14:textId="77777777" w:rsidR="00CF2A03" w:rsidRPr="00CF2A03" w:rsidRDefault="00F6370B" w:rsidP="00417172">
      <w:pPr>
        <w:pStyle w:val="BodyText"/>
        <w:ind w:left="1496"/>
        <w:jc w:val="both"/>
      </w:pPr>
      <w:r>
        <w:t xml:space="preserve"> </w:t>
      </w:r>
    </w:p>
    <w:sectPr w:rsidR="00CF2A03" w:rsidRPr="00CF2A03" w:rsidSect="00BA1CE4">
      <w:footerReference w:type="first" r:id="rId11"/>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E3C2" w14:textId="77777777" w:rsidR="003B643B" w:rsidRDefault="003B643B">
      <w:r>
        <w:separator/>
      </w:r>
    </w:p>
  </w:endnote>
  <w:endnote w:type="continuationSeparator" w:id="0">
    <w:p w14:paraId="488A70C1" w14:textId="77777777" w:rsidR="003B643B" w:rsidRDefault="003B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380963"/>
      <w:docPartObj>
        <w:docPartGallery w:val="Page Numbers (Bottom of Page)"/>
        <w:docPartUnique/>
      </w:docPartObj>
    </w:sdtPr>
    <w:sdtEndPr>
      <w:rPr>
        <w:color w:val="7F7F7F" w:themeColor="background1" w:themeShade="7F"/>
        <w:spacing w:val="60"/>
      </w:rPr>
    </w:sdtEndPr>
    <w:sdtContent>
      <w:p w14:paraId="1DA2E54F" w14:textId="77777777" w:rsidR="00BA1CE4" w:rsidRDefault="00BA1CE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BA1CE4">
          <w:rPr>
            <w:b/>
            <w:bCs/>
            <w:noProof/>
          </w:rPr>
          <w:t>1</w:t>
        </w:r>
        <w:r>
          <w:rPr>
            <w:b/>
            <w:bCs/>
            <w:noProof/>
          </w:rPr>
          <w:fldChar w:fldCharType="end"/>
        </w:r>
        <w:r>
          <w:rPr>
            <w:b/>
            <w:bCs/>
          </w:rPr>
          <w:t xml:space="preserve"> | </w:t>
        </w:r>
        <w:r>
          <w:rPr>
            <w:color w:val="7F7F7F" w:themeColor="background1" w:themeShade="7F"/>
            <w:spacing w:val="60"/>
          </w:rPr>
          <w:t>Page</w:t>
        </w:r>
      </w:p>
    </w:sdtContent>
  </w:sdt>
  <w:p w14:paraId="0D43DC26" w14:textId="77777777" w:rsidR="002C1610" w:rsidRDefault="002C1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D1936" w14:textId="77777777" w:rsidR="003B643B" w:rsidRDefault="003B643B">
      <w:r>
        <w:separator/>
      </w:r>
    </w:p>
  </w:footnote>
  <w:footnote w:type="continuationSeparator" w:id="0">
    <w:p w14:paraId="53052AC8" w14:textId="77777777" w:rsidR="003B643B" w:rsidRDefault="003B6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0F2"/>
    <w:multiLevelType w:val="hybridMultilevel"/>
    <w:tmpl w:val="6E86842C"/>
    <w:lvl w:ilvl="0" w:tplc="3238FC2A">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C34A6"/>
    <w:multiLevelType w:val="hybridMultilevel"/>
    <w:tmpl w:val="2AAE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403699"/>
    <w:multiLevelType w:val="multilevel"/>
    <w:tmpl w:val="A83CB0DE"/>
    <w:name w:val="zzmpMultiLevel||Multi-Level|2|4|1|1|0|0||1|0|0||1|0|0||1|0|0||1|0|0||1|0|0||1|0|0||1|0|0||1|0|0||"/>
    <w:lvl w:ilvl="0">
      <w:start w:val="1"/>
      <w:numFmt w:val="lowerLetter"/>
      <w:pStyle w:val="MultiLevelL1"/>
      <w:lvlText w:val="%1."/>
      <w:lvlJc w:val="left"/>
      <w:pPr>
        <w:tabs>
          <w:tab w:val="num" w:pos="720"/>
        </w:tabs>
        <w:ind w:left="720" w:hanging="720"/>
      </w:pPr>
      <w:rPr>
        <w:rFonts w:ascii="Times New Roman" w:hAnsi="Times New Roman" w:cs="Times New Roman"/>
        <w:b w:val="0"/>
        <w:i w:val="0"/>
        <w:caps w:val="0"/>
        <w:sz w:val="24"/>
        <w:u w:val="none"/>
      </w:rPr>
    </w:lvl>
    <w:lvl w:ilvl="1">
      <w:start w:val="1"/>
      <w:numFmt w:val="decimal"/>
      <w:pStyle w:val="MultiLevelL2"/>
      <w:lvlText w:val="%2."/>
      <w:lvlJc w:val="left"/>
      <w:pPr>
        <w:tabs>
          <w:tab w:val="num" w:pos="1440"/>
        </w:tabs>
        <w:ind w:left="1440" w:hanging="720"/>
      </w:pPr>
      <w:rPr>
        <w:rFonts w:ascii="Times New Roman" w:hAnsi="Times New Roman" w:cs="Times New Roman"/>
        <w:b w:val="0"/>
        <w:i w:val="0"/>
        <w:caps w:val="0"/>
        <w:sz w:val="24"/>
        <w:u w:val="none"/>
      </w:rPr>
    </w:lvl>
    <w:lvl w:ilvl="2">
      <w:start w:val="1"/>
      <w:numFmt w:val="lowerRoman"/>
      <w:pStyle w:val="MultiLevel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MultiLevel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Roman"/>
      <w:pStyle w:val="MultiLevel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MultiLevelL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lowerRoman"/>
      <w:pStyle w:val="MultiLevel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Letter"/>
      <w:pStyle w:val="MultiLevel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bullet"/>
      <w:lvlRestart w:val="0"/>
      <w:pStyle w:val="MultiLevelL9"/>
      <w:lvlText w:val="·"/>
      <w:lvlJc w:val="left"/>
      <w:pPr>
        <w:tabs>
          <w:tab w:val="num" w:pos="6480"/>
        </w:tabs>
        <w:ind w:left="6480" w:hanging="720"/>
      </w:pPr>
      <w:rPr>
        <w:rFonts w:ascii="Symbol" w:hAnsi="Symbol" w:hint="default"/>
        <w:b w:val="0"/>
        <w:i w:val="0"/>
        <w:caps w:val="0"/>
        <w:u w:val="none"/>
      </w:rPr>
    </w:lvl>
  </w:abstractNum>
  <w:abstractNum w:abstractNumId="3" w15:restartNumberingAfterBreak="0">
    <w:nsid w:val="677C4DB4"/>
    <w:multiLevelType w:val="multilevel"/>
    <w:tmpl w:val="9F0AAF6A"/>
    <w:name w:val="zzmpLegal||Legal|2|4|1|1|2|33||1|2|0||1|2|0||1|2|0||1|2|0||1|2|0||1|2|0||1|2|0||1|2|0||"/>
    <w:lvl w:ilvl="0">
      <w:start w:val="1"/>
      <w:numFmt w:val="decimal"/>
      <w:pStyle w:val="LegalL1"/>
      <w:lvlText w:val="%1."/>
      <w:lvlJc w:val="left"/>
      <w:pPr>
        <w:tabs>
          <w:tab w:val="num" w:pos="720"/>
        </w:tabs>
        <w:ind w:left="1440" w:hanging="1440"/>
      </w:pPr>
      <w:rPr>
        <w:rFonts w:ascii="Times New Roman" w:hAnsi="Times New Roman" w:cs="Times New Roman"/>
        <w:b/>
        <w:i w:val="0"/>
        <w:caps w:val="0"/>
        <w:sz w:val="24"/>
        <w:u w:val="none"/>
      </w:rPr>
    </w:lvl>
    <w:lvl w:ilvl="1">
      <w:start w:val="1"/>
      <w:numFmt w:val="decimal"/>
      <w:pStyle w:val="LegalL2"/>
      <w:lvlText w:val="%1.%2"/>
      <w:lvlJc w:val="left"/>
      <w:pPr>
        <w:tabs>
          <w:tab w:val="num" w:pos="720"/>
        </w:tabs>
        <w:ind w:left="0" w:firstLine="0"/>
      </w:pPr>
      <w:rPr>
        <w:rFonts w:ascii="Times New Roman" w:hAnsi="Times New Roman" w:cs="Times New Roman"/>
        <w:b w:val="0"/>
        <w:i w:val="0"/>
        <w:caps w:val="0"/>
        <w:sz w:val="24"/>
        <w:u w:val="none"/>
      </w:rPr>
    </w:lvl>
    <w:lvl w:ilvl="2">
      <w:start w:val="1"/>
      <w:numFmt w:val="decimal"/>
      <w:pStyle w:val="LegalL3"/>
      <w:lvlText w:val="%1.%2.%3"/>
      <w:lvlJc w:val="left"/>
      <w:pPr>
        <w:tabs>
          <w:tab w:val="num" w:pos="2520"/>
        </w:tabs>
        <w:ind w:left="1440" w:firstLine="0"/>
      </w:pPr>
      <w:rPr>
        <w:rFonts w:ascii="Times New Roman" w:hAnsi="Times New Roman" w:cs="Times New Roman"/>
        <w:b w:val="0"/>
        <w:i w:val="0"/>
        <w:caps w:val="0"/>
        <w:sz w:val="24"/>
        <w:u w:val="none"/>
      </w:rPr>
    </w:lvl>
    <w:lvl w:ilvl="3">
      <w:start w:val="1"/>
      <w:numFmt w:val="decimal"/>
      <w:pStyle w:val="LegalL4"/>
      <w:lvlText w:val="%1.%2.%3.%4"/>
      <w:lvlJc w:val="left"/>
      <w:pPr>
        <w:tabs>
          <w:tab w:val="num" w:pos="3168"/>
        </w:tabs>
        <w:ind w:left="2160" w:firstLine="0"/>
      </w:pPr>
      <w:rPr>
        <w:rFonts w:ascii="Times New Roman" w:hAnsi="Times New Roman" w:cs="Times New Roman"/>
        <w:b w:val="0"/>
        <w:i w:val="0"/>
        <w:caps w:val="0"/>
        <w:sz w:val="24"/>
        <w:u w:val="none"/>
      </w:rPr>
    </w:lvl>
    <w:lvl w:ilvl="4">
      <w:start w:val="1"/>
      <w:numFmt w:val="decimal"/>
      <w:pStyle w:val="LegalL5"/>
      <w:lvlText w:val="%1.%2.%3.%4.%5"/>
      <w:lvlJc w:val="left"/>
      <w:pPr>
        <w:tabs>
          <w:tab w:val="num" w:pos="4032"/>
        </w:tabs>
        <w:ind w:left="2880" w:firstLine="0"/>
      </w:pPr>
      <w:rPr>
        <w:rFonts w:ascii="Times New Roman" w:hAnsi="Times New Roman" w:cs="Times New Roman"/>
        <w:b w:val="0"/>
        <w:i w:val="0"/>
        <w:caps w:val="0"/>
        <w:sz w:val="24"/>
        <w:u w:val="none"/>
      </w:rPr>
    </w:lvl>
    <w:lvl w:ilvl="5">
      <w:start w:val="1"/>
      <w:numFmt w:val="lowerLetter"/>
      <w:pStyle w:val="LegalL6"/>
      <w:lvlText w:val="(%6)"/>
      <w:lvlJc w:val="left"/>
      <w:pPr>
        <w:tabs>
          <w:tab w:val="num" w:pos="720"/>
        </w:tabs>
        <w:ind w:left="0" w:firstLine="0"/>
      </w:pPr>
      <w:rPr>
        <w:rFonts w:ascii="Times New Roman" w:hAnsi="Times New Roman" w:cs="Times New Roman"/>
        <w:b w:val="0"/>
        <w:i w:val="0"/>
        <w:caps w:val="0"/>
        <w:sz w:val="24"/>
        <w:u w:val="none"/>
      </w:rPr>
    </w:lvl>
    <w:lvl w:ilvl="6">
      <w:start w:val="1"/>
      <w:numFmt w:val="lowerLetter"/>
      <w:pStyle w:val="LegalL7"/>
      <w:lvlText w:val="(%7)"/>
      <w:lvlJc w:val="left"/>
      <w:pPr>
        <w:tabs>
          <w:tab w:val="num" w:pos="720"/>
        </w:tabs>
        <w:ind w:left="0" w:firstLine="0"/>
      </w:pPr>
      <w:rPr>
        <w:rFonts w:ascii="Times New Roman" w:hAnsi="Times New Roman" w:cs="Times New Roman"/>
        <w:b w:val="0"/>
        <w:i w:val="0"/>
        <w:caps w:val="0"/>
        <w:sz w:val="24"/>
        <w:u w:val="none"/>
      </w:rPr>
    </w:lvl>
    <w:lvl w:ilvl="7">
      <w:start w:val="1"/>
      <w:numFmt w:val="upperLetter"/>
      <w:pStyle w:val="LegalL8"/>
      <w:lvlText w:val="(%8)"/>
      <w:lvlJc w:val="left"/>
      <w:pPr>
        <w:tabs>
          <w:tab w:val="num" w:pos="2880"/>
        </w:tabs>
        <w:ind w:left="2880" w:hanging="720"/>
      </w:pPr>
      <w:rPr>
        <w:rFonts w:ascii="Times New Roman" w:hAnsi="Times New Roman" w:cs="Times New Roman"/>
        <w:b w:val="0"/>
        <w:i w:val="0"/>
        <w:caps w:val="0"/>
        <w:sz w:val="24"/>
        <w:u w:val="none"/>
      </w:rPr>
    </w:lvl>
    <w:lvl w:ilvl="8">
      <w:start w:val="1"/>
      <w:numFmt w:val="bullet"/>
      <w:pStyle w:val="LegalL9"/>
      <w:lvlText w:val="·"/>
      <w:lvlJc w:val="left"/>
      <w:pPr>
        <w:tabs>
          <w:tab w:val="num" w:pos="2160"/>
        </w:tabs>
        <w:ind w:left="2160" w:hanging="720"/>
      </w:pPr>
      <w:rPr>
        <w:rFonts w:ascii="Symbol" w:hAnsi="Symbol" w:hint="default"/>
        <w:b w:val="0"/>
        <w:i w:val="0"/>
        <w:caps w:val="0"/>
        <w:color w:val="auto"/>
        <w:u w:val="none"/>
      </w:rPr>
    </w:lvl>
  </w:abstractNum>
  <w:num w:numId="1" w16cid:durableId="286275134">
    <w:abstractNumId w:val="3"/>
  </w:num>
  <w:num w:numId="2" w16cid:durableId="772629896">
    <w:abstractNumId w:val="3"/>
  </w:num>
  <w:num w:numId="3" w16cid:durableId="749543167">
    <w:abstractNumId w:val="3"/>
  </w:num>
  <w:num w:numId="4" w16cid:durableId="115216987">
    <w:abstractNumId w:val="3"/>
  </w:num>
  <w:num w:numId="5" w16cid:durableId="2083522777">
    <w:abstractNumId w:val="3"/>
  </w:num>
  <w:num w:numId="6" w16cid:durableId="901017180">
    <w:abstractNumId w:val="3"/>
  </w:num>
  <w:num w:numId="7" w16cid:durableId="2133743934">
    <w:abstractNumId w:val="3"/>
  </w:num>
  <w:num w:numId="8" w16cid:durableId="1769085610">
    <w:abstractNumId w:val="3"/>
  </w:num>
  <w:num w:numId="9" w16cid:durableId="1844660925">
    <w:abstractNumId w:val="3"/>
  </w:num>
  <w:num w:numId="10" w16cid:durableId="2035378920">
    <w:abstractNumId w:val="3"/>
  </w:num>
  <w:num w:numId="11" w16cid:durableId="131866924">
    <w:abstractNumId w:val="3"/>
  </w:num>
  <w:num w:numId="12" w16cid:durableId="1075981300">
    <w:abstractNumId w:val="3"/>
  </w:num>
  <w:num w:numId="13" w16cid:durableId="1455446821">
    <w:abstractNumId w:val="3"/>
  </w:num>
  <w:num w:numId="14" w16cid:durableId="961963609">
    <w:abstractNumId w:val="3"/>
  </w:num>
  <w:num w:numId="15" w16cid:durableId="1923761035">
    <w:abstractNumId w:val="2"/>
  </w:num>
  <w:num w:numId="16" w16cid:durableId="1747144885">
    <w:abstractNumId w:val="3"/>
  </w:num>
  <w:num w:numId="17" w16cid:durableId="1285845259">
    <w:abstractNumId w:val="3"/>
  </w:num>
  <w:num w:numId="18" w16cid:durableId="1255240275">
    <w:abstractNumId w:val="3"/>
  </w:num>
  <w:num w:numId="19" w16cid:durableId="312373322">
    <w:abstractNumId w:val="3"/>
  </w:num>
  <w:num w:numId="20" w16cid:durableId="1312295853">
    <w:abstractNumId w:val="3"/>
  </w:num>
  <w:num w:numId="21" w16cid:durableId="1574507415">
    <w:abstractNumId w:val="3"/>
  </w:num>
  <w:num w:numId="22" w16cid:durableId="1047030529">
    <w:abstractNumId w:val="3"/>
  </w:num>
  <w:num w:numId="23" w16cid:durableId="2030184051">
    <w:abstractNumId w:val="3"/>
  </w:num>
  <w:num w:numId="24" w16cid:durableId="1985499456">
    <w:abstractNumId w:val="3"/>
  </w:num>
  <w:num w:numId="25" w16cid:durableId="331615149">
    <w:abstractNumId w:val="3"/>
  </w:num>
  <w:num w:numId="26" w16cid:durableId="1372803217">
    <w:abstractNumId w:val="3"/>
  </w:num>
  <w:num w:numId="27" w16cid:durableId="393702844">
    <w:abstractNumId w:val="3"/>
  </w:num>
  <w:num w:numId="28" w16cid:durableId="10241398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7722978">
    <w:abstractNumId w:val="3"/>
  </w:num>
  <w:num w:numId="30" w16cid:durableId="1537618070">
    <w:abstractNumId w:val="3"/>
  </w:num>
  <w:num w:numId="31" w16cid:durableId="853760378">
    <w:abstractNumId w:val="3"/>
  </w:num>
  <w:num w:numId="32" w16cid:durableId="82184669">
    <w:abstractNumId w:val="3"/>
  </w:num>
  <w:num w:numId="33" w16cid:durableId="565458975">
    <w:abstractNumId w:val="3"/>
  </w:num>
  <w:num w:numId="34" w16cid:durableId="1274944131">
    <w:abstractNumId w:val="3"/>
  </w:num>
  <w:num w:numId="35" w16cid:durableId="1277829832">
    <w:abstractNumId w:val="3"/>
  </w:num>
  <w:num w:numId="36" w16cid:durableId="1419210741">
    <w:abstractNumId w:val="3"/>
  </w:num>
  <w:num w:numId="37" w16cid:durableId="1175612647">
    <w:abstractNumId w:val="3"/>
  </w:num>
  <w:num w:numId="38" w16cid:durableId="1990596566">
    <w:abstractNumId w:val="3"/>
  </w:num>
  <w:num w:numId="39" w16cid:durableId="1374231871">
    <w:abstractNumId w:val="3"/>
  </w:num>
  <w:num w:numId="40" w16cid:durableId="1888449818">
    <w:abstractNumId w:val="3"/>
  </w:num>
  <w:num w:numId="41" w16cid:durableId="1177234938">
    <w:abstractNumId w:val="3"/>
  </w:num>
  <w:num w:numId="42" w16cid:durableId="693575546">
    <w:abstractNumId w:val="3"/>
  </w:num>
  <w:num w:numId="43" w16cid:durableId="1116094526">
    <w:abstractNumId w:val="3"/>
  </w:num>
  <w:num w:numId="44" w16cid:durableId="277957134">
    <w:abstractNumId w:val="3"/>
  </w:num>
  <w:num w:numId="45" w16cid:durableId="1139304323">
    <w:abstractNumId w:val="3"/>
  </w:num>
  <w:num w:numId="46" w16cid:durableId="519394701">
    <w:abstractNumId w:val="3"/>
  </w:num>
  <w:num w:numId="47" w16cid:durableId="772893840">
    <w:abstractNumId w:val="3"/>
  </w:num>
  <w:num w:numId="48" w16cid:durableId="589699939">
    <w:abstractNumId w:val="1"/>
  </w:num>
  <w:num w:numId="49" w16cid:durableId="14920238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0NTEyszAwNzQxNTNV0lEKTi0uzszPAykwrgUAWMhI0iwAAAA="/>
    <w:docVar w:name="PaperType" w:val="plain"/>
    <w:docVar w:name="zzmpFixedCurScheme" w:val="Legal"/>
    <w:docVar w:name="zzmpFixedCurScheme_9.0" w:val="1zzmpLegal"/>
    <w:docVar w:name="zzmpLegal" w:val="||Legal|2|4|1|1|2|33||1|2|0||1|2|0||1|2|0||1|2|0||1|2|0||1|2|0||1|2|0||1|2|0||"/>
    <w:docVar w:name="zzmpLTFontsClean" w:val="True"/>
    <w:docVar w:name="zzmpnSession" w:val="0.4978144"/>
  </w:docVars>
  <w:rsids>
    <w:rsidRoot w:val="00344694"/>
    <w:rsid w:val="00000472"/>
    <w:rsid w:val="0000099F"/>
    <w:rsid w:val="0000247F"/>
    <w:rsid w:val="00003B9B"/>
    <w:rsid w:val="0001501F"/>
    <w:rsid w:val="00016AAA"/>
    <w:rsid w:val="00017451"/>
    <w:rsid w:val="00020770"/>
    <w:rsid w:val="00023E64"/>
    <w:rsid w:val="0002402B"/>
    <w:rsid w:val="00025DF4"/>
    <w:rsid w:val="00035270"/>
    <w:rsid w:val="000520BA"/>
    <w:rsid w:val="000572F4"/>
    <w:rsid w:val="00061204"/>
    <w:rsid w:val="00086CF9"/>
    <w:rsid w:val="00095CD6"/>
    <w:rsid w:val="000C4D25"/>
    <w:rsid w:val="00132B6B"/>
    <w:rsid w:val="00132EF7"/>
    <w:rsid w:val="0017143C"/>
    <w:rsid w:val="00175507"/>
    <w:rsid w:val="00180FA2"/>
    <w:rsid w:val="00182533"/>
    <w:rsid w:val="001B0AD8"/>
    <w:rsid w:val="001D0E09"/>
    <w:rsid w:val="001E1BD8"/>
    <w:rsid w:val="001E4EF5"/>
    <w:rsid w:val="001F1031"/>
    <w:rsid w:val="001F13FC"/>
    <w:rsid w:val="001F1EE2"/>
    <w:rsid w:val="001F357A"/>
    <w:rsid w:val="001F7069"/>
    <w:rsid w:val="00216A3E"/>
    <w:rsid w:val="0023230A"/>
    <w:rsid w:val="0023529E"/>
    <w:rsid w:val="0023535E"/>
    <w:rsid w:val="002400BF"/>
    <w:rsid w:val="00244240"/>
    <w:rsid w:val="00292133"/>
    <w:rsid w:val="002A0A25"/>
    <w:rsid w:val="002B58C8"/>
    <w:rsid w:val="002B60DC"/>
    <w:rsid w:val="002C1610"/>
    <w:rsid w:val="002C4E25"/>
    <w:rsid w:val="002C6BD1"/>
    <w:rsid w:val="002E1490"/>
    <w:rsid w:val="003041C4"/>
    <w:rsid w:val="00312298"/>
    <w:rsid w:val="00320B75"/>
    <w:rsid w:val="00330A2A"/>
    <w:rsid w:val="003371A4"/>
    <w:rsid w:val="003372B1"/>
    <w:rsid w:val="00344694"/>
    <w:rsid w:val="003460DC"/>
    <w:rsid w:val="00357CA1"/>
    <w:rsid w:val="00384120"/>
    <w:rsid w:val="0038532A"/>
    <w:rsid w:val="003962ED"/>
    <w:rsid w:val="003A09E6"/>
    <w:rsid w:val="003B00A8"/>
    <w:rsid w:val="003B0551"/>
    <w:rsid w:val="003B1980"/>
    <w:rsid w:val="003B4708"/>
    <w:rsid w:val="003B643B"/>
    <w:rsid w:val="003D5145"/>
    <w:rsid w:val="003E694D"/>
    <w:rsid w:val="003F7B11"/>
    <w:rsid w:val="0041102B"/>
    <w:rsid w:val="00417172"/>
    <w:rsid w:val="0041782C"/>
    <w:rsid w:val="00446FD0"/>
    <w:rsid w:val="00455675"/>
    <w:rsid w:val="00456535"/>
    <w:rsid w:val="00470FA5"/>
    <w:rsid w:val="00475816"/>
    <w:rsid w:val="004839FB"/>
    <w:rsid w:val="004C3A57"/>
    <w:rsid w:val="004C7AE0"/>
    <w:rsid w:val="004E57E3"/>
    <w:rsid w:val="00500C9F"/>
    <w:rsid w:val="00511720"/>
    <w:rsid w:val="0051278B"/>
    <w:rsid w:val="00530E56"/>
    <w:rsid w:val="00530F5D"/>
    <w:rsid w:val="0053725B"/>
    <w:rsid w:val="00580EA4"/>
    <w:rsid w:val="005870F0"/>
    <w:rsid w:val="00587F49"/>
    <w:rsid w:val="005905F1"/>
    <w:rsid w:val="00593CE3"/>
    <w:rsid w:val="005B519A"/>
    <w:rsid w:val="005C2A75"/>
    <w:rsid w:val="005C4B67"/>
    <w:rsid w:val="005D709D"/>
    <w:rsid w:val="005E36E6"/>
    <w:rsid w:val="005F2917"/>
    <w:rsid w:val="005F4259"/>
    <w:rsid w:val="005F6A0E"/>
    <w:rsid w:val="00615D6D"/>
    <w:rsid w:val="00671F91"/>
    <w:rsid w:val="00674427"/>
    <w:rsid w:val="00682BD8"/>
    <w:rsid w:val="00696705"/>
    <w:rsid w:val="006A2775"/>
    <w:rsid w:val="006A5380"/>
    <w:rsid w:val="006A7B40"/>
    <w:rsid w:val="006D27B7"/>
    <w:rsid w:val="006E3279"/>
    <w:rsid w:val="006F6AFE"/>
    <w:rsid w:val="0072509C"/>
    <w:rsid w:val="00742107"/>
    <w:rsid w:val="00764725"/>
    <w:rsid w:val="00765A96"/>
    <w:rsid w:val="00780E19"/>
    <w:rsid w:val="00781C1B"/>
    <w:rsid w:val="007829A7"/>
    <w:rsid w:val="00792D4B"/>
    <w:rsid w:val="007A0140"/>
    <w:rsid w:val="007A5118"/>
    <w:rsid w:val="007C1640"/>
    <w:rsid w:val="007C4E29"/>
    <w:rsid w:val="007D03A0"/>
    <w:rsid w:val="007D0797"/>
    <w:rsid w:val="007E28A9"/>
    <w:rsid w:val="008043C4"/>
    <w:rsid w:val="0082598B"/>
    <w:rsid w:val="00827111"/>
    <w:rsid w:val="00827AAC"/>
    <w:rsid w:val="008355E3"/>
    <w:rsid w:val="00836EDA"/>
    <w:rsid w:val="00860F36"/>
    <w:rsid w:val="00865C74"/>
    <w:rsid w:val="00865F37"/>
    <w:rsid w:val="00872D03"/>
    <w:rsid w:val="00883F5A"/>
    <w:rsid w:val="00885ED1"/>
    <w:rsid w:val="008A20F9"/>
    <w:rsid w:val="008A25AC"/>
    <w:rsid w:val="008A6DD7"/>
    <w:rsid w:val="008B57AE"/>
    <w:rsid w:val="008D2946"/>
    <w:rsid w:val="008D54CF"/>
    <w:rsid w:val="008D74DE"/>
    <w:rsid w:val="008E1647"/>
    <w:rsid w:val="008F2D09"/>
    <w:rsid w:val="00902AB8"/>
    <w:rsid w:val="00920F56"/>
    <w:rsid w:val="00923DD7"/>
    <w:rsid w:val="009259B9"/>
    <w:rsid w:val="00933D6A"/>
    <w:rsid w:val="00936B5E"/>
    <w:rsid w:val="0093788E"/>
    <w:rsid w:val="00942AE4"/>
    <w:rsid w:val="00953CF2"/>
    <w:rsid w:val="00982809"/>
    <w:rsid w:val="00982DE1"/>
    <w:rsid w:val="0099083E"/>
    <w:rsid w:val="009979D0"/>
    <w:rsid w:val="009D7FCC"/>
    <w:rsid w:val="00A0251A"/>
    <w:rsid w:val="00A05801"/>
    <w:rsid w:val="00A22DE7"/>
    <w:rsid w:val="00A353A2"/>
    <w:rsid w:val="00A42629"/>
    <w:rsid w:val="00A44423"/>
    <w:rsid w:val="00A44DFB"/>
    <w:rsid w:val="00A678C9"/>
    <w:rsid w:val="00A701C3"/>
    <w:rsid w:val="00A7160D"/>
    <w:rsid w:val="00A74362"/>
    <w:rsid w:val="00A82650"/>
    <w:rsid w:val="00AA1742"/>
    <w:rsid w:val="00AA3320"/>
    <w:rsid w:val="00AB663F"/>
    <w:rsid w:val="00AB6AF8"/>
    <w:rsid w:val="00AC6793"/>
    <w:rsid w:val="00AD2389"/>
    <w:rsid w:val="00AD42D2"/>
    <w:rsid w:val="00AD5F41"/>
    <w:rsid w:val="00AE1647"/>
    <w:rsid w:val="00AF1A29"/>
    <w:rsid w:val="00AF21AC"/>
    <w:rsid w:val="00B0194D"/>
    <w:rsid w:val="00B104B3"/>
    <w:rsid w:val="00B2496C"/>
    <w:rsid w:val="00B33631"/>
    <w:rsid w:val="00B34F14"/>
    <w:rsid w:val="00B41A98"/>
    <w:rsid w:val="00B6412E"/>
    <w:rsid w:val="00B83198"/>
    <w:rsid w:val="00B94298"/>
    <w:rsid w:val="00B978AD"/>
    <w:rsid w:val="00BA1CE4"/>
    <w:rsid w:val="00BB7704"/>
    <w:rsid w:val="00BD2C6A"/>
    <w:rsid w:val="00BD3D1A"/>
    <w:rsid w:val="00BE5C21"/>
    <w:rsid w:val="00BF135D"/>
    <w:rsid w:val="00C0574F"/>
    <w:rsid w:val="00C322C7"/>
    <w:rsid w:val="00C66DE3"/>
    <w:rsid w:val="00C71044"/>
    <w:rsid w:val="00C743AE"/>
    <w:rsid w:val="00C91619"/>
    <w:rsid w:val="00C918FA"/>
    <w:rsid w:val="00CC3A2C"/>
    <w:rsid w:val="00CF16AE"/>
    <w:rsid w:val="00CF1D02"/>
    <w:rsid w:val="00CF2A03"/>
    <w:rsid w:val="00D1731E"/>
    <w:rsid w:val="00D1763B"/>
    <w:rsid w:val="00D24FFF"/>
    <w:rsid w:val="00D34F5E"/>
    <w:rsid w:val="00D36B6E"/>
    <w:rsid w:val="00D450F5"/>
    <w:rsid w:val="00D631DF"/>
    <w:rsid w:val="00D64370"/>
    <w:rsid w:val="00D657E9"/>
    <w:rsid w:val="00D85124"/>
    <w:rsid w:val="00D86882"/>
    <w:rsid w:val="00DB604C"/>
    <w:rsid w:val="00DC17B9"/>
    <w:rsid w:val="00DD1603"/>
    <w:rsid w:val="00DF417D"/>
    <w:rsid w:val="00DF621A"/>
    <w:rsid w:val="00E0470F"/>
    <w:rsid w:val="00E137D6"/>
    <w:rsid w:val="00E145BF"/>
    <w:rsid w:val="00E1604E"/>
    <w:rsid w:val="00E3001F"/>
    <w:rsid w:val="00E32C0C"/>
    <w:rsid w:val="00E463DA"/>
    <w:rsid w:val="00E47B65"/>
    <w:rsid w:val="00E56DF2"/>
    <w:rsid w:val="00E81E8C"/>
    <w:rsid w:val="00E9062F"/>
    <w:rsid w:val="00E91211"/>
    <w:rsid w:val="00EA015D"/>
    <w:rsid w:val="00EA0ECB"/>
    <w:rsid w:val="00EA14A6"/>
    <w:rsid w:val="00EA47A0"/>
    <w:rsid w:val="00EC705E"/>
    <w:rsid w:val="00ED6E4D"/>
    <w:rsid w:val="00EE40D4"/>
    <w:rsid w:val="00F133DD"/>
    <w:rsid w:val="00F14F37"/>
    <w:rsid w:val="00F22080"/>
    <w:rsid w:val="00F265FF"/>
    <w:rsid w:val="00F36027"/>
    <w:rsid w:val="00F43AF9"/>
    <w:rsid w:val="00F518A3"/>
    <w:rsid w:val="00F51C93"/>
    <w:rsid w:val="00F5302C"/>
    <w:rsid w:val="00F61279"/>
    <w:rsid w:val="00F62743"/>
    <w:rsid w:val="00F6370B"/>
    <w:rsid w:val="00F646F3"/>
    <w:rsid w:val="00F6556D"/>
    <w:rsid w:val="00F71C3B"/>
    <w:rsid w:val="00F733EB"/>
    <w:rsid w:val="00FA4EDE"/>
    <w:rsid w:val="00FA6E1E"/>
    <w:rsid w:val="00FB19DA"/>
    <w:rsid w:val="00FE2B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C5378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E29"/>
    <w:pPr>
      <w:spacing w:after="240"/>
    </w:pPr>
    <w:rPr>
      <w:sz w:val="24"/>
      <w:szCs w:val="24"/>
      <w:lang w:bidi="ar-SA"/>
    </w:rPr>
  </w:style>
  <w:style w:type="paragraph" w:styleId="Heading1">
    <w:name w:val="heading 1"/>
    <w:basedOn w:val="NormalSingle"/>
    <w:next w:val="Normal"/>
    <w:qFormat/>
    <w:rsid w:val="007C4E29"/>
    <w:pPr>
      <w:keepNext/>
      <w:outlineLvl w:val="0"/>
    </w:pPr>
    <w:rPr>
      <w:rFonts w:cs="Arial"/>
      <w:b/>
      <w:bCs/>
      <w:caps/>
      <w:kern w:val="24"/>
    </w:rPr>
  </w:style>
  <w:style w:type="paragraph" w:styleId="Heading2">
    <w:name w:val="heading 2"/>
    <w:basedOn w:val="NormalSingle"/>
    <w:next w:val="Normal"/>
    <w:qFormat/>
    <w:rsid w:val="007C4E29"/>
    <w:pPr>
      <w:keepNext/>
      <w:outlineLvl w:val="1"/>
    </w:pPr>
    <w:rPr>
      <w:rFonts w:cs="Arial"/>
      <w:b/>
      <w:bCs/>
      <w:iCs/>
      <w:szCs w:val="28"/>
    </w:rPr>
  </w:style>
  <w:style w:type="paragraph" w:styleId="Heading3">
    <w:name w:val="heading 3"/>
    <w:basedOn w:val="NormalSingle"/>
    <w:next w:val="Normal"/>
    <w:qFormat/>
    <w:rsid w:val="007C4E29"/>
    <w:pPr>
      <w:keepNext/>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Single"/>
    <w:rsid w:val="007C4E29"/>
  </w:style>
  <w:style w:type="paragraph" w:customStyle="1" w:styleId="AlignRight">
    <w:name w:val="Align Right"/>
    <w:basedOn w:val="Normal"/>
    <w:rsid w:val="007C4E29"/>
    <w:pPr>
      <w:jc w:val="right"/>
    </w:pPr>
  </w:style>
  <w:style w:type="paragraph" w:customStyle="1" w:styleId="AttnLine">
    <w:name w:val="AttnLine"/>
    <w:basedOn w:val="NormalSingle"/>
    <w:next w:val="BodyText"/>
    <w:rsid w:val="007C4E29"/>
  </w:style>
  <w:style w:type="paragraph" w:styleId="BodyText">
    <w:name w:val="Body Text"/>
    <w:basedOn w:val="Normal"/>
    <w:link w:val="BodyTextChar"/>
    <w:rsid w:val="00244240"/>
  </w:style>
  <w:style w:type="paragraph" w:customStyle="1" w:styleId="BodyText15">
    <w:name w:val="Body Text 1.5"/>
    <w:basedOn w:val="BodyText"/>
    <w:rsid w:val="007C4E29"/>
    <w:pPr>
      <w:spacing w:line="360" w:lineRule="auto"/>
    </w:pPr>
  </w:style>
  <w:style w:type="paragraph" w:customStyle="1" w:styleId="BTIndent05">
    <w:name w:val="BT Indent 0.5&quot;"/>
    <w:basedOn w:val="BodyText"/>
    <w:rsid w:val="00132EF7"/>
    <w:pPr>
      <w:ind w:left="720"/>
    </w:pPr>
  </w:style>
  <w:style w:type="paragraph" w:customStyle="1" w:styleId="BTIndent1">
    <w:name w:val="BT Indent 1&quot;"/>
    <w:basedOn w:val="BodyText"/>
    <w:rsid w:val="00132EF7"/>
    <w:pPr>
      <w:ind w:left="1440"/>
    </w:pPr>
    <w:rPr>
      <w:szCs w:val="20"/>
    </w:rPr>
  </w:style>
  <w:style w:type="paragraph" w:customStyle="1" w:styleId="BTIndent15">
    <w:name w:val="BT Indent 1.5&quot;"/>
    <w:basedOn w:val="BodyText"/>
    <w:rsid w:val="00132EF7"/>
    <w:pPr>
      <w:ind w:left="2160"/>
    </w:pPr>
    <w:rPr>
      <w:szCs w:val="20"/>
    </w:rPr>
  </w:style>
  <w:style w:type="paragraph" w:customStyle="1" w:styleId="BTIndent2">
    <w:name w:val="BT Indent 2&quot;"/>
    <w:basedOn w:val="BodyText"/>
    <w:rsid w:val="00132EF7"/>
    <w:pPr>
      <w:ind w:left="2880"/>
    </w:pPr>
    <w:rPr>
      <w:szCs w:val="20"/>
    </w:rPr>
  </w:style>
  <w:style w:type="paragraph" w:customStyle="1" w:styleId="BTJustified">
    <w:name w:val="BT Justified"/>
    <w:basedOn w:val="BodyText"/>
    <w:rsid w:val="007C4E29"/>
    <w:pPr>
      <w:jc w:val="both"/>
    </w:pPr>
  </w:style>
  <w:style w:type="paragraph" w:customStyle="1" w:styleId="Centre">
    <w:name w:val="Centre"/>
    <w:basedOn w:val="Normal"/>
    <w:rsid w:val="007C4E29"/>
    <w:pPr>
      <w:jc w:val="center"/>
    </w:pPr>
  </w:style>
  <w:style w:type="paragraph" w:styleId="Footer">
    <w:name w:val="footer"/>
    <w:basedOn w:val="NormalSingle"/>
    <w:link w:val="FooterChar"/>
    <w:uiPriority w:val="99"/>
    <w:rsid w:val="007C4E29"/>
    <w:pPr>
      <w:tabs>
        <w:tab w:val="center" w:pos="4680"/>
        <w:tab w:val="right" w:pos="9360"/>
      </w:tabs>
      <w:spacing w:after="0"/>
    </w:pPr>
  </w:style>
  <w:style w:type="paragraph" w:styleId="FootnoteText">
    <w:name w:val="footnote text"/>
    <w:basedOn w:val="Normal"/>
    <w:rsid w:val="00765A96"/>
    <w:pPr>
      <w:spacing w:after="60"/>
    </w:pPr>
    <w:rPr>
      <w:sz w:val="20"/>
      <w:szCs w:val="20"/>
    </w:rPr>
  </w:style>
  <w:style w:type="paragraph" w:customStyle="1" w:styleId="Hanging">
    <w:name w:val="Hanging"/>
    <w:basedOn w:val="Normal"/>
    <w:rsid w:val="007C4E29"/>
    <w:pPr>
      <w:ind w:left="720" w:hanging="720"/>
    </w:pPr>
  </w:style>
  <w:style w:type="paragraph" w:customStyle="1" w:styleId="Hanging1">
    <w:name w:val="Hanging1"/>
    <w:basedOn w:val="Normal"/>
    <w:rsid w:val="007C4E29"/>
    <w:pPr>
      <w:ind w:left="1440" w:hanging="720"/>
    </w:pPr>
  </w:style>
  <w:style w:type="paragraph" w:styleId="Header">
    <w:name w:val="header"/>
    <w:basedOn w:val="NormalSingle"/>
    <w:rsid w:val="007C4E29"/>
    <w:pPr>
      <w:tabs>
        <w:tab w:val="center" w:pos="4680"/>
        <w:tab w:val="right" w:pos="9360"/>
      </w:tabs>
      <w:spacing w:after="0"/>
    </w:pPr>
  </w:style>
  <w:style w:type="paragraph" w:customStyle="1" w:styleId="Heading10">
    <w:name w:val="Heading_1"/>
    <w:basedOn w:val="NormalSingle"/>
    <w:next w:val="BodyText"/>
    <w:rsid w:val="007C4E29"/>
    <w:pPr>
      <w:keepNext/>
      <w:outlineLvl w:val="0"/>
    </w:pPr>
    <w:rPr>
      <w:b/>
      <w:caps/>
    </w:rPr>
  </w:style>
  <w:style w:type="paragraph" w:customStyle="1" w:styleId="Heading20">
    <w:name w:val="Heading_2"/>
    <w:basedOn w:val="NormalSingle"/>
    <w:next w:val="BodyText"/>
    <w:rsid w:val="007C4E29"/>
    <w:pPr>
      <w:keepNext/>
      <w:outlineLvl w:val="1"/>
    </w:pPr>
    <w:rPr>
      <w:b/>
    </w:rPr>
  </w:style>
  <w:style w:type="paragraph" w:customStyle="1" w:styleId="Heading30">
    <w:name w:val="Heading_3"/>
    <w:basedOn w:val="NormalSingle"/>
    <w:next w:val="BodyText"/>
    <w:rsid w:val="00244240"/>
    <w:pPr>
      <w:keepNext/>
      <w:outlineLvl w:val="2"/>
    </w:pPr>
    <w:rPr>
      <w:b/>
      <w:i/>
    </w:rPr>
  </w:style>
  <w:style w:type="paragraph" w:customStyle="1" w:styleId="Indent">
    <w:name w:val="Indent"/>
    <w:aliases w:val="I"/>
    <w:basedOn w:val="Normal"/>
    <w:semiHidden/>
    <w:rsid w:val="007C4E29"/>
    <w:pPr>
      <w:ind w:left="720"/>
    </w:pPr>
  </w:style>
  <w:style w:type="paragraph" w:customStyle="1" w:styleId="Indent1">
    <w:name w:val="Indent1"/>
    <w:aliases w:val="I1"/>
    <w:basedOn w:val="Normal"/>
    <w:semiHidden/>
    <w:rsid w:val="007C4E29"/>
    <w:pPr>
      <w:ind w:left="1440"/>
    </w:pPr>
  </w:style>
  <w:style w:type="paragraph" w:customStyle="1" w:styleId="Indent2">
    <w:name w:val="Indent2"/>
    <w:aliases w:val="I2"/>
    <w:basedOn w:val="Normal"/>
    <w:semiHidden/>
    <w:rsid w:val="007C4E29"/>
    <w:pPr>
      <w:ind w:left="2160"/>
    </w:pPr>
  </w:style>
  <w:style w:type="paragraph" w:customStyle="1" w:styleId="Indent3">
    <w:name w:val="Indent3"/>
    <w:aliases w:val="I3"/>
    <w:basedOn w:val="Normal"/>
    <w:semiHidden/>
    <w:rsid w:val="007C4E29"/>
    <w:pPr>
      <w:ind w:left="2880"/>
    </w:pPr>
  </w:style>
  <w:style w:type="paragraph" w:customStyle="1" w:styleId="JustifiedDblSpc">
    <w:name w:val="Justified Dbl Spc"/>
    <w:basedOn w:val="Normal"/>
    <w:rsid w:val="007C4E29"/>
    <w:pPr>
      <w:spacing w:line="480" w:lineRule="auto"/>
      <w:jc w:val="both"/>
    </w:pPr>
  </w:style>
  <w:style w:type="paragraph" w:customStyle="1" w:styleId="JustifiedFL5">
    <w:name w:val="Justified FL .5"/>
    <w:basedOn w:val="Normal"/>
    <w:rsid w:val="007C4E29"/>
    <w:pPr>
      <w:ind w:firstLine="720"/>
      <w:jc w:val="both"/>
    </w:pPr>
  </w:style>
  <w:style w:type="paragraph" w:styleId="NormalWeb">
    <w:name w:val="Normal (Web)"/>
    <w:basedOn w:val="Normal"/>
    <w:semiHidden/>
    <w:rsid w:val="007C4E29"/>
  </w:style>
  <w:style w:type="paragraph" w:customStyle="1" w:styleId="NormalSingle">
    <w:name w:val="Normal Single"/>
    <w:rsid w:val="007C4E29"/>
    <w:pPr>
      <w:spacing w:after="240"/>
    </w:pPr>
    <w:rPr>
      <w:sz w:val="24"/>
      <w:lang w:bidi="ar-SA"/>
    </w:rPr>
  </w:style>
  <w:style w:type="character" w:styleId="PageNumber">
    <w:name w:val="page number"/>
    <w:rsid w:val="007C4E29"/>
    <w:rPr>
      <w:rFonts w:ascii="Times New Roman" w:hAnsi="Times New Roman"/>
      <w:sz w:val="24"/>
      <w:szCs w:val="24"/>
    </w:rPr>
  </w:style>
  <w:style w:type="paragraph" w:customStyle="1" w:styleId="PlainSingle">
    <w:name w:val="Plain Single"/>
    <w:basedOn w:val="NormalSingle"/>
    <w:semiHidden/>
    <w:rsid w:val="007C4E29"/>
    <w:pPr>
      <w:spacing w:after="0"/>
    </w:pPr>
  </w:style>
  <w:style w:type="paragraph" w:customStyle="1" w:styleId="Plain">
    <w:name w:val="Plain"/>
    <w:aliases w:val="P"/>
    <w:basedOn w:val="Normal"/>
    <w:rsid w:val="007C4E29"/>
    <w:pPr>
      <w:spacing w:after="0"/>
    </w:pPr>
    <w:rPr>
      <w:szCs w:val="20"/>
    </w:rPr>
  </w:style>
  <w:style w:type="character" w:customStyle="1" w:styleId="Prompt">
    <w:name w:val="Prompt"/>
    <w:aliases w:val="PR"/>
    <w:rsid w:val="007C4E29"/>
    <w:rPr>
      <w:color w:val="0000FF"/>
    </w:rPr>
  </w:style>
  <w:style w:type="paragraph" w:customStyle="1" w:styleId="Quote1">
    <w:name w:val="Quote 1&quot;"/>
    <w:basedOn w:val="Normal"/>
    <w:next w:val="BodyText"/>
    <w:rsid w:val="00244240"/>
    <w:pPr>
      <w:ind w:left="1440" w:right="1440"/>
    </w:pPr>
    <w:rPr>
      <w:szCs w:val="20"/>
    </w:rPr>
  </w:style>
  <w:style w:type="paragraph" w:customStyle="1" w:styleId="Reference">
    <w:name w:val="Reference"/>
    <w:basedOn w:val="Normal"/>
    <w:next w:val="BodyText"/>
    <w:rsid w:val="007C4E29"/>
    <w:pPr>
      <w:ind w:left="1440" w:right="1440"/>
    </w:pPr>
    <w:rPr>
      <w:b/>
    </w:rPr>
  </w:style>
  <w:style w:type="paragraph" w:customStyle="1" w:styleId="TableHead">
    <w:name w:val="TableHead"/>
    <w:aliases w:val="TH"/>
    <w:basedOn w:val="NormalSingle"/>
    <w:rsid w:val="007C4E29"/>
    <w:pPr>
      <w:keepNext/>
      <w:keepLines/>
      <w:spacing w:before="60" w:after="60"/>
      <w:jc w:val="center"/>
    </w:pPr>
    <w:rPr>
      <w:b/>
    </w:rPr>
  </w:style>
  <w:style w:type="paragraph" w:customStyle="1" w:styleId="TableText">
    <w:name w:val="TableText"/>
    <w:aliases w:val="TT"/>
    <w:basedOn w:val="NormalSingle"/>
    <w:rsid w:val="007C4E29"/>
    <w:pPr>
      <w:spacing w:before="60" w:after="60"/>
    </w:pPr>
  </w:style>
  <w:style w:type="paragraph" w:styleId="Title">
    <w:name w:val="Title"/>
    <w:basedOn w:val="NormalSingle"/>
    <w:next w:val="BodyText"/>
    <w:qFormat/>
    <w:rsid w:val="007C4E29"/>
    <w:pPr>
      <w:keepNext/>
      <w:jc w:val="center"/>
    </w:pPr>
    <w:rPr>
      <w:b/>
      <w:bCs/>
      <w:kern w:val="24"/>
    </w:rPr>
  </w:style>
  <w:style w:type="paragraph" w:styleId="TOC1">
    <w:name w:val="toc 1"/>
    <w:basedOn w:val="Normal"/>
    <w:next w:val="Normal"/>
    <w:rsid w:val="007C4E29"/>
    <w:pPr>
      <w:tabs>
        <w:tab w:val="left" w:pos="720"/>
        <w:tab w:val="right" w:leader="dot" w:pos="9360"/>
      </w:tabs>
    </w:pPr>
  </w:style>
  <w:style w:type="paragraph" w:styleId="TOC2">
    <w:name w:val="toc 2"/>
    <w:basedOn w:val="Normal"/>
    <w:next w:val="Normal"/>
    <w:rsid w:val="007C4E29"/>
    <w:pPr>
      <w:tabs>
        <w:tab w:val="left" w:pos="1440"/>
        <w:tab w:val="right" w:leader="dot" w:pos="9360"/>
      </w:tabs>
      <w:ind w:left="720"/>
    </w:pPr>
  </w:style>
  <w:style w:type="paragraph" w:customStyle="1" w:styleId="DblSpcLeft">
    <w:name w:val="Dbl Spc Left"/>
    <w:basedOn w:val="Normal"/>
    <w:rsid w:val="00023E64"/>
    <w:pPr>
      <w:spacing w:after="0" w:line="480" w:lineRule="auto"/>
    </w:pPr>
  </w:style>
  <w:style w:type="paragraph" w:customStyle="1" w:styleId="DblSpcIndent">
    <w:name w:val="Dbl Spc Indent"/>
    <w:basedOn w:val="DblSpcLeft"/>
    <w:rsid w:val="00023E64"/>
    <w:pPr>
      <w:ind w:firstLine="1440"/>
    </w:pPr>
  </w:style>
  <w:style w:type="character" w:customStyle="1" w:styleId="Notetodraft">
    <w:name w:val="Note to draft"/>
    <w:rsid w:val="00455675"/>
    <w:rPr>
      <w:rFonts w:ascii="Arial" w:hAnsi="Arial"/>
      <w:b/>
      <w:caps/>
      <w:sz w:val="20"/>
      <w:szCs w:val="20"/>
    </w:rPr>
  </w:style>
  <w:style w:type="paragraph" w:customStyle="1" w:styleId="Quote05">
    <w:name w:val="Quote 0.5&quot;"/>
    <w:basedOn w:val="Quote1"/>
    <w:next w:val="BodyText"/>
    <w:rsid w:val="00781C1B"/>
    <w:pPr>
      <w:ind w:left="720" w:right="720"/>
    </w:pPr>
  </w:style>
  <w:style w:type="paragraph" w:customStyle="1" w:styleId="Heading4">
    <w:name w:val="Heading_4"/>
    <w:basedOn w:val="NormalSingle"/>
    <w:next w:val="BodyText"/>
    <w:rsid w:val="008D54CF"/>
    <w:pPr>
      <w:keepNext/>
      <w:outlineLvl w:val="3"/>
    </w:pPr>
    <w:rPr>
      <w:i/>
    </w:rPr>
  </w:style>
  <w:style w:type="paragraph" w:customStyle="1" w:styleId="BTFirst05">
    <w:name w:val="BT First 0.5&quot;"/>
    <w:basedOn w:val="BodyText"/>
    <w:rsid w:val="00A678C9"/>
    <w:pPr>
      <w:ind w:firstLine="720"/>
    </w:pPr>
  </w:style>
  <w:style w:type="paragraph" w:customStyle="1" w:styleId="BTFirst1">
    <w:name w:val="BT First 1&quot;"/>
    <w:basedOn w:val="BodyText"/>
    <w:rsid w:val="00A678C9"/>
    <w:pPr>
      <w:ind w:firstLine="1440"/>
    </w:pPr>
  </w:style>
  <w:style w:type="table" w:styleId="TableGrid">
    <w:name w:val="Table Grid"/>
    <w:basedOn w:val="TableNormal"/>
    <w:rsid w:val="0024424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ingLine">
    <w:name w:val="SigningLine"/>
    <w:basedOn w:val="NormalSingle"/>
    <w:rsid w:val="00E47B65"/>
    <w:pPr>
      <w:spacing w:before="40" w:after="40"/>
      <w:jc w:val="both"/>
    </w:pPr>
    <w:rPr>
      <w:szCs w:val="24"/>
    </w:rPr>
  </w:style>
  <w:style w:type="paragraph" w:customStyle="1" w:styleId="DocsID">
    <w:name w:val="DocsID"/>
    <w:rsid w:val="00696705"/>
    <w:pPr>
      <w:widowControl w:val="0"/>
      <w:spacing w:before="20" w:line="140" w:lineRule="exact"/>
    </w:pPr>
    <w:rPr>
      <w:rFonts w:ascii="Arial" w:hAnsi="Arial"/>
      <w:color w:val="000080"/>
      <w:sz w:val="16"/>
      <w:szCs w:val="16"/>
      <w:lang w:bidi="ar-SA"/>
    </w:rPr>
  </w:style>
  <w:style w:type="paragraph" w:customStyle="1" w:styleId="CoverTitle">
    <w:name w:val="Cover Title"/>
    <w:basedOn w:val="BodyText"/>
    <w:pPr>
      <w:jc w:val="center"/>
    </w:pPr>
    <w:rPr>
      <w:b/>
      <w:bCs/>
      <w:szCs w:val="22"/>
    </w:rPr>
  </w:style>
  <w:style w:type="paragraph" w:customStyle="1" w:styleId="LegalCont1">
    <w:name w:val="Legal Cont 1"/>
    <w:basedOn w:val="Normal"/>
    <w:pPr>
      <w:keepNext/>
      <w:ind w:left="1440"/>
    </w:pPr>
    <w:rPr>
      <w:b/>
      <w:szCs w:val="20"/>
      <w:u w:val="single"/>
    </w:rPr>
  </w:style>
  <w:style w:type="paragraph" w:customStyle="1" w:styleId="LegalCont2">
    <w:name w:val="Legal Cont 2"/>
    <w:basedOn w:val="LegalCont1"/>
    <w:pPr>
      <w:keepNext w:val="0"/>
      <w:spacing w:line="360" w:lineRule="auto"/>
      <w:ind w:left="720" w:firstLine="720"/>
    </w:pPr>
    <w:rPr>
      <w:b w:val="0"/>
      <w:u w:val="none"/>
    </w:rPr>
  </w:style>
  <w:style w:type="paragraph" w:customStyle="1" w:styleId="LegalCont3">
    <w:name w:val="Legal Cont 3"/>
    <w:basedOn w:val="LegalCont2"/>
    <w:pPr>
      <w:ind w:left="1440" w:firstLine="1080"/>
    </w:pPr>
  </w:style>
  <w:style w:type="paragraph" w:customStyle="1" w:styleId="LegalCont4">
    <w:name w:val="Legal Cont 4"/>
    <w:basedOn w:val="LegalCont3"/>
    <w:pPr>
      <w:ind w:left="2160" w:firstLine="1008"/>
    </w:pPr>
  </w:style>
  <w:style w:type="paragraph" w:customStyle="1" w:styleId="LegalCont5">
    <w:name w:val="Legal Cont 5"/>
    <w:basedOn w:val="LegalCont4"/>
    <w:pPr>
      <w:ind w:left="2880" w:firstLine="1152"/>
    </w:pPr>
  </w:style>
  <w:style w:type="paragraph" w:customStyle="1" w:styleId="LegalCont6">
    <w:name w:val="Legal Cont 6"/>
    <w:basedOn w:val="LegalCont5"/>
    <w:pPr>
      <w:ind w:left="1440" w:firstLine="0"/>
    </w:pPr>
  </w:style>
  <w:style w:type="paragraph" w:customStyle="1" w:styleId="LegalCont7">
    <w:name w:val="Legal Cont 7"/>
    <w:basedOn w:val="LegalCont6"/>
    <w:pPr>
      <w:ind w:left="2160"/>
    </w:pPr>
  </w:style>
  <w:style w:type="paragraph" w:customStyle="1" w:styleId="LegalCont8">
    <w:name w:val="Legal Cont 8"/>
    <w:basedOn w:val="LegalCont7"/>
    <w:pPr>
      <w:ind w:left="2880"/>
    </w:pPr>
  </w:style>
  <w:style w:type="paragraph" w:customStyle="1" w:styleId="LegalCont9">
    <w:name w:val="Legal Cont 9"/>
    <w:basedOn w:val="LegalCont8"/>
    <w:pPr>
      <w:ind w:left="2160"/>
    </w:pPr>
  </w:style>
  <w:style w:type="paragraph" w:customStyle="1" w:styleId="LegalL1">
    <w:name w:val="Legal_L1"/>
    <w:basedOn w:val="Normal"/>
    <w:next w:val="BTFirst1"/>
    <w:pPr>
      <w:keepNext/>
      <w:numPr>
        <w:numId w:val="1"/>
      </w:numPr>
      <w:outlineLvl w:val="0"/>
    </w:pPr>
    <w:rPr>
      <w:b/>
      <w:szCs w:val="20"/>
    </w:rPr>
  </w:style>
  <w:style w:type="paragraph" w:customStyle="1" w:styleId="LegalL2">
    <w:name w:val="Legal_L2"/>
    <w:basedOn w:val="LegalL1"/>
    <w:rsid w:val="00182533"/>
    <w:pPr>
      <w:numPr>
        <w:ilvl w:val="1"/>
      </w:numPr>
      <w:outlineLvl w:val="1"/>
    </w:pPr>
    <w:rPr>
      <w:b w:val="0"/>
    </w:rPr>
  </w:style>
  <w:style w:type="paragraph" w:customStyle="1" w:styleId="LegalL3">
    <w:name w:val="Legal_L3"/>
    <w:basedOn w:val="LegalL2"/>
    <w:rsid w:val="00182533"/>
    <w:pPr>
      <w:keepNext w:val="0"/>
      <w:numPr>
        <w:ilvl w:val="2"/>
      </w:numPr>
      <w:spacing w:line="360" w:lineRule="auto"/>
      <w:outlineLvl w:val="2"/>
    </w:pPr>
  </w:style>
  <w:style w:type="paragraph" w:customStyle="1" w:styleId="LegalL4">
    <w:name w:val="Legal_L4"/>
    <w:basedOn w:val="LegalL3"/>
    <w:pPr>
      <w:numPr>
        <w:ilvl w:val="3"/>
      </w:numPr>
      <w:outlineLvl w:val="3"/>
    </w:pPr>
  </w:style>
  <w:style w:type="paragraph" w:customStyle="1" w:styleId="LegalL5">
    <w:name w:val="Legal_L5"/>
    <w:basedOn w:val="LegalL4"/>
    <w:pPr>
      <w:numPr>
        <w:ilvl w:val="4"/>
      </w:numPr>
      <w:outlineLvl w:val="4"/>
    </w:pPr>
  </w:style>
  <w:style w:type="paragraph" w:customStyle="1" w:styleId="LegalL6">
    <w:name w:val="Legal_L6"/>
    <w:basedOn w:val="LegalL5"/>
    <w:rsid w:val="00511720"/>
    <w:pPr>
      <w:numPr>
        <w:ilvl w:val="5"/>
      </w:numPr>
      <w:outlineLvl w:val="5"/>
    </w:pPr>
  </w:style>
  <w:style w:type="paragraph" w:customStyle="1" w:styleId="LegalL7">
    <w:name w:val="Legal_L7"/>
    <w:basedOn w:val="LegalL6"/>
    <w:rsid w:val="00511720"/>
    <w:pPr>
      <w:numPr>
        <w:ilvl w:val="6"/>
      </w:numPr>
      <w:outlineLvl w:val="6"/>
    </w:pPr>
  </w:style>
  <w:style w:type="paragraph" w:customStyle="1" w:styleId="LegalL8">
    <w:name w:val="Legal_L8"/>
    <w:basedOn w:val="LegalL7"/>
    <w:rsid w:val="00511720"/>
    <w:pPr>
      <w:numPr>
        <w:ilvl w:val="7"/>
      </w:numPr>
      <w:outlineLvl w:val="7"/>
    </w:pPr>
  </w:style>
  <w:style w:type="paragraph" w:customStyle="1" w:styleId="LegalL9">
    <w:name w:val="Legal_L9"/>
    <w:basedOn w:val="LegalL8"/>
    <w:pPr>
      <w:numPr>
        <w:ilvl w:val="8"/>
      </w:numPr>
      <w:outlineLvl w:val="8"/>
    </w:p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googqs-tidbitgoogqs-tidbit-0">
    <w:name w:val="goog_qs-tidbit goog_qs-tidbit-0"/>
    <w:basedOn w:val="DefaultParagraphFont"/>
    <w:rsid w:val="00530E56"/>
  </w:style>
  <w:style w:type="paragraph" w:customStyle="1" w:styleId="MultiLevelL1">
    <w:name w:val="MultiLevel_L1"/>
    <w:basedOn w:val="Normal"/>
    <w:rsid w:val="0041782C"/>
    <w:pPr>
      <w:numPr>
        <w:numId w:val="15"/>
      </w:numPr>
      <w:outlineLvl w:val="0"/>
    </w:pPr>
    <w:rPr>
      <w:szCs w:val="20"/>
    </w:rPr>
  </w:style>
  <w:style w:type="paragraph" w:customStyle="1" w:styleId="MultiLevelL2">
    <w:name w:val="MultiLevel_L2"/>
    <w:basedOn w:val="MultiLevelL1"/>
    <w:rsid w:val="0041782C"/>
    <w:pPr>
      <w:numPr>
        <w:ilvl w:val="1"/>
      </w:numPr>
      <w:outlineLvl w:val="1"/>
    </w:pPr>
  </w:style>
  <w:style w:type="paragraph" w:customStyle="1" w:styleId="MultiLevelL3">
    <w:name w:val="MultiLevel_L3"/>
    <w:basedOn w:val="MultiLevelL2"/>
    <w:rsid w:val="0041782C"/>
    <w:pPr>
      <w:numPr>
        <w:ilvl w:val="2"/>
      </w:numPr>
      <w:outlineLvl w:val="2"/>
    </w:pPr>
  </w:style>
  <w:style w:type="paragraph" w:customStyle="1" w:styleId="MultiLevelL4">
    <w:name w:val="MultiLevel_L4"/>
    <w:basedOn w:val="MultiLevelL3"/>
    <w:rsid w:val="0041782C"/>
    <w:pPr>
      <w:numPr>
        <w:ilvl w:val="3"/>
      </w:numPr>
      <w:outlineLvl w:val="3"/>
    </w:pPr>
  </w:style>
  <w:style w:type="paragraph" w:customStyle="1" w:styleId="MultiLevelL5">
    <w:name w:val="MultiLevel_L5"/>
    <w:basedOn w:val="MultiLevelL4"/>
    <w:rsid w:val="0041782C"/>
    <w:pPr>
      <w:numPr>
        <w:ilvl w:val="4"/>
      </w:numPr>
      <w:outlineLvl w:val="4"/>
    </w:pPr>
  </w:style>
  <w:style w:type="paragraph" w:customStyle="1" w:styleId="MultiLevelL6">
    <w:name w:val="MultiLevel_L6"/>
    <w:basedOn w:val="MultiLevelL5"/>
    <w:rsid w:val="0041782C"/>
    <w:pPr>
      <w:numPr>
        <w:ilvl w:val="5"/>
      </w:numPr>
      <w:outlineLvl w:val="5"/>
    </w:pPr>
  </w:style>
  <w:style w:type="paragraph" w:customStyle="1" w:styleId="MultiLevelL7">
    <w:name w:val="MultiLevel_L7"/>
    <w:basedOn w:val="MultiLevelL6"/>
    <w:rsid w:val="0041782C"/>
    <w:pPr>
      <w:numPr>
        <w:ilvl w:val="6"/>
      </w:numPr>
      <w:outlineLvl w:val="6"/>
    </w:pPr>
  </w:style>
  <w:style w:type="paragraph" w:customStyle="1" w:styleId="MultiLevelL8">
    <w:name w:val="MultiLevel_L8"/>
    <w:basedOn w:val="MultiLevelL7"/>
    <w:rsid w:val="0041782C"/>
    <w:pPr>
      <w:numPr>
        <w:ilvl w:val="7"/>
      </w:numPr>
      <w:outlineLvl w:val="7"/>
    </w:pPr>
  </w:style>
  <w:style w:type="paragraph" w:customStyle="1" w:styleId="MultiLevelL9">
    <w:name w:val="MultiLevel_L9"/>
    <w:basedOn w:val="MultiLevelL8"/>
    <w:rsid w:val="0041782C"/>
    <w:pPr>
      <w:numPr>
        <w:ilvl w:val="8"/>
      </w:numPr>
      <w:outlineLvl w:val="8"/>
    </w:pPr>
  </w:style>
  <w:style w:type="character" w:styleId="FootnoteReference">
    <w:name w:val="footnote reference"/>
    <w:semiHidden/>
    <w:rsid w:val="0041782C"/>
    <w:rPr>
      <w:vertAlign w:val="superscript"/>
    </w:rPr>
  </w:style>
  <w:style w:type="paragraph" w:styleId="BalloonText">
    <w:name w:val="Balloon Text"/>
    <w:basedOn w:val="Normal"/>
    <w:link w:val="BalloonTextChar"/>
    <w:rsid w:val="00682BD8"/>
    <w:pPr>
      <w:spacing w:after="0"/>
    </w:pPr>
    <w:rPr>
      <w:rFonts w:ascii="Tahoma" w:hAnsi="Tahoma" w:cs="Tahoma"/>
      <w:sz w:val="16"/>
      <w:szCs w:val="16"/>
      <w:lang w:val="x-none" w:eastAsia="x-none"/>
    </w:rPr>
  </w:style>
  <w:style w:type="character" w:customStyle="1" w:styleId="BalloonTextChar">
    <w:name w:val="Balloon Text Char"/>
    <w:link w:val="BalloonText"/>
    <w:rsid w:val="00682BD8"/>
    <w:rPr>
      <w:rFonts w:ascii="Tahoma" w:hAnsi="Tahoma" w:cs="Tahoma"/>
      <w:sz w:val="16"/>
      <w:szCs w:val="16"/>
      <w:lang w:bidi="ar-SA"/>
    </w:rPr>
  </w:style>
  <w:style w:type="character" w:customStyle="1" w:styleId="FooterChar">
    <w:name w:val="Footer Char"/>
    <w:basedOn w:val="DefaultParagraphFont"/>
    <w:link w:val="Footer"/>
    <w:uiPriority w:val="99"/>
    <w:rsid w:val="00BA1CE4"/>
    <w:rPr>
      <w:sz w:val="24"/>
      <w:lang w:bidi="ar-SA"/>
    </w:rPr>
  </w:style>
  <w:style w:type="character" w:styleId="CommentReference">
    <w:name w:val="annotation reference"/>
    <w:basedOn w:val="DefaultParagraphFont"/>
    <w:rsid w:val="00580EA4"/>
    <w:rPr>
      <w:sz w:val="16"/>
      <w:szCs w:val="16"/>
    </w:rPr>
  </w:style>
  <w:style w:type="paragraph" w:styleId="CommentText">
    <w:name w:val="annotation text"/>
    <w:basedOn w:val="Normal"/>
    <w:link w:val="CommentTextChar"/>
    <w:rsid w:val="00580EA4"/>
    <w:rPr>
      <w:sz w:val="20"/>
      <w:szCs w:val="20"/>
    </w:rPr>
  </w:style>
  <w:style w:type="character" w:customStyle="1" w:styleId="CommentTextChar">
    <w:name w:val="Comment Text Char"/>
    <w:basedOn w:val="DefaultParagraphFont"/>
    <w:link w:val="CommentText"/>
    <w:rsid w:val="00580EA4"/>
    <w:rPr>
      <w:lang w:bidi="ar-SA"/>
    </w:rPr>
  </w:style>
  <w:style w:type="paragraph" w:styleId="CommentSubject">
    <w:name w:val="annotation subject"/>
    <w:basedOn w:val="CommentText"/>
    <w:next w:val="CommentText"/>
    <w:link w:val="CommentSubjectChar"/>
    <w:rsid w:val="00580EA4"/>
    <w:rPr>
      <w:b/>
      <w:bCs/>
    </w:rPr>
  </w:style>
  <w:style w:type="character" w:customStyle="1" w:styleId="CommentSubjectChar">
    <w:name w:val="Comment Subject Char"/>
    <w:basedOn w:val="CommentTextChar"/>
    <w:link w:val="CommentSubject"/>
    <w:rsid w:val="00580EA4"/>
    <w:rPr>
      <w:b/>
      <w:bCs/>
      <w:lang w:bidi="ar-SA"/>
    </w:rPr>
  </w:style>
  <w:style w:type="character" w:customStyle="1" w:styleId="BodyTextChar">
    <w:name w:val="Body Text Char"/>
    <w:basedOn w:val="DefaultParagraphFont"/>
    <w:link w:val="BodyText"/>
    <w:rsid w:val="001E1BD8"/>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577607">
      <w:bodyDiv w:val="1"/>
      <w:marLeft w:val="0"/>
      <w:marRight w:val="0"/>
      <w:marTop w:val="0"/>
      <w:marBottom w:val="0"/>
      <w:divBdr>
        <w:top w:val="none" w:sz="0" w:space="0" w:color="auto"/>
        <w:left w:val="none" w:sz="0" w:space="0" w:color="auto"/>
        <w:bottom w:val="none" w:sz="0" w:space="0" w:color="auto"/>
        <w:right w:val="none" w:sz="0" w:space="0" w:color="auto"/>
      </w:divBdr>
      <w:divsChild>
        <w:div w:id="81801848">
          <w:marLeft w:val="0"/>
          <w:marRight w:val="0"/>
          <w:marTop w:val="0"/>
          <w:marBottom w:val="0"/>
          <w:divBdr>
            <w:top w:val="none" w:sz="0" w:space="0" w:color="auto"/>
            <w:left w:val="none" w:sz="0" w:space="0" w:color="auto"/>
            <w:bottom w:val="none" w:sz="0" w:space="0" w:color="auto"/>
            <w:right w:val="none" w:sz="0" w:space="0" w:color="auto"/>
          </w:divBdr>
          <w:divsChild>
            <w:div w:id="340669110">
              <w:marLeft w:val="0"/>
              <w:marRight w:val="0"/>
              <w:marTop w:val="0"/>
              <w:marBottom w:val="0"/>
              <w:divBdr>
                <w:top w:val="none" w:sz="0" w:space="0" w:color="auto"/>
                <w:left w:val="none" w:sz="0" w:space="0" w:color="auto"/>
                <w:bottom w:val="none" w:sz="0" w:space="0" w:color="auto"/>
                <w:right w:val="none" w:sz="0" w:space="0" w:color="auto"/>
              </w:divBdr>
              <w:divsChild>
                <w:div w:id="1260793059">
                  <w:marLeft w:val="0"/>
                  <w:marRight w:val="0"/>
                  <w:marTop w:val="0"/>
                  <w:marBottom w:val="0"/>
                  <w:divBdr>
                    <w:top w:val="none" w:sz="0" w:space="0" w:color="auto"/>
                    <w:left w:val="none" w:sz="0" w:space="0" w:color="auto"/>
                    <w:bottom w:val="none" w:sz="0" w:space="0" w:color="auto"/>
                    <w:right w:val="none" w:sz="0" w:space="0" w:color="auto"/>
                  </w:divBdr>
                  <w:divsChild>
                    <w:div w:id="1087924397">
                      <w:marLeft w:val="0"/>
                      <w:marRight w:val="0"/>
                      <w:marTop w:val="0"/>
                      <w:marBottom w:val="0"/>
                      <w:divBdr>
                        <w:top w:val="none" w:sz="0" w:space="0" w:color="auto"/>
                        <w:left w:val="none" w:sz="0" w:space="0" w:color="auto"/>
                        <w:bottom w:val="none" w:sz="0" w:space="0" w:color="auto"/>
                        <w:right w:val="none" w:sz="0" w:space="0" w:color="auto"/>
                      </w:divBdr>
                      <w:divsChild>
                        <w:div w:id="12550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799934">
      <w:bodyDiv w:val="1"/>
      <w:marLeft w:val="0"/>
      <w:marRight w:val="0"/>
      <w:marTop w:val="0"/>
      <w:marBottom w:val="0"/>
      <w:divBdr>
        <w:top w:val="none" w:sz="0" w:space="0" w:color="auto"/>
        <w:left w:val="none" w:sz="0" w:space="0" w:color="auto"/>
        <w:bottom w:val="none" w:sz="0" w:space="0" w:color="auto"/>
        <w:right w:val="none" w:sz="0" w:space="0" w:color="auto"/>
      </w:divBdr>
    </w:div>
    <w:div w:id="1165245307">
      <w:bodyDiv w:val="1"/>
      <w:marLeft w:val="0"/>
      <w:marRight w:val="0"/>
      <w:marTop w:val="0"/>
      <w:marBottom w:val="0"/>
      <w:divBdr>
        <w:top w:val="none" w:sz="0" w:space="0" w:color="auto"/>
        <w:left w:val="none" w:sz="0" w:space="0" w:color="auto"/>
        <w:bottom w:val="none" w:sz="0" w:space="0" w:color="auto"/>
        <w:right w:val="none" w:sz="0" w:space="0" w:color="auto"/>
      </w:divBdr>
      <w:divsChild>
        <w:div w:id="411394080">
          <w:marLeft w:val="0"/>
          <w:marRight w:val="0"/>
          <w:marTop w:val="0"/>
          <w:marBottom w:val="0"/>
          <w:divBdr>
            <w:top w:val="none" w:sz="0" w:space="0" w:color="auto"/>
            <w:left w:val="none" w:sz="0" w:space="0" w:color="auto"/>
            <w:bottom w:val="none" w:sz="0" w:space="0" w:color="auto"/>
            <w:right w:val="none" w:sz="0" w:space="0" w:color="auto"/>
          </w:divBdr>
          <w:divsChild>
            <w:div w:id="837579224">
              <w:marLeft w:val="0"/>
              <w:marRight w:val="0"/>
              <w:marTop w:val="0"/>
              <w:marBottom w:val="0"/>
              <w:divBdr>
                <w:top w:val="none" w:sz="0" w:space="0" w:color="auto"/>
                <w:left w:val="none" w:sz="0" w:space="0" w:color="auto"/>
                <w:bottom w:val="none" w:sz="0" w:space="0" w:color="auto"/>
                <w:right w:val="none" w:sz="0" w:space="0" w:color="auto"/>
              </w:divBdr>
              <w:divsChild>
                <w:div w:id="654340759">
                  <w:marLeft w:val="0"/>
                  <w:marRight w:val="0"/>
                  <w:marTop w:val="0"/>
                  <w:marBottom w:val="0"/>
                  <w:divBdr>
                    <w:top w:val="none" w:sz="0" w:space="0" w:color="auto"/>
                    <w:left w:val="none" w:sz="0" w:space="0" w:color="auto"/>
                    <w:bottom w:val="none" w:sz="0" w:space="0" w:color="auto"/>
                    <w:right w:val="none" w:sz="0" w:space="0" w:color="auto"/>
                  </w:divBdr>
                  <w:divsChild>
                    <w:div w:id="1294210794">
                      <w:marLeft w:val="0"/>
                      <w:marRight w:val="0"/>
                      <w:marTop w:val="0"/>
                      <w:marBottom w:val="0"/>
                      <w:divBdr>
                        <w:top w:val="none" w:sz="0" w:space="0" w:color="auto"/>
                        <w:left w:val="none" w:sz="0" w:space="0" w:color="auto"/>
                        <w:bottom w:val="none" w:sz="0" w:space="0" w:color="auto"/>
                        <w:right w:val="none" w:sz="0" w:space="0" w:color="auto"/>
                      </w:divBdr>
                      <w:divsChild>
                        <w:div w:id="794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144061">
      <w:bodyDiv w:val="1"/>
      <w:marLeft w:val="0"/>
      <w:marRight w:val="0"/>
      <w:marTop w:val="0"/>
      <w:marBottom w:val="0"/>
      <w:divBdr>
        <w:top w:val="none" w:sz="0" w:space="0" w:color="auto"/>
        <w:left w:val="none" w:sz="0" w:space="0" w:color="auto"/>
        <w:bottom w:val="none" w:sz="0" w:space="0" w:color="auto"/>
        <w:right w:val="none" w:sz="0" w:space="0" w:color="auto"/>
      </w:divBdr>
      <w:divsChild>
        <w:div w:id="157383028">
          <w:marLeft w:val="0"/>
          <w:marRight w:val="0"/>
          <w:marTop w:val="0"/>
          <w:marBottom w:val="0"/>
          <w:divBdr>
            <w:top w:val="none" w:sz="0" w:space="0" w:color="auto"/>
            <w:left w:val="none" w:sz="0" w:space="0" w:color="auto"/>
            <w:bottom w:val="none" w:sz="0" w:space="0" w:color="auto"/>
            <w:right w:val="none" w:sz="0" w:space="0" w:color="auto"/>
          </w:divBdr>
          <w:divsChild>
            <w:div w:id="1997302511">
              <w:marLeft w:val="0"/>
              <w:marRight w:val="0"/>
              <w:marTop w:val="0"/>
              <w:marBottom w:val="0"/>
              <w:divBdr>
                <w:top w:val="none" w:sz="0" w:space="0" w:color="auto"/>
                <w:left w:val="none" w:sz="0" w:space="0" w:color="auto"/>
                <w:bottom w:val="none" w:sz="0" w:space="0" w:color="auto"/>
                <w:right w:val="none" w:sz="0" w:space="0" w:color="auto"/>
              </w:divBdr>
              <w:divsChild>
                <w:div w:id="1739859236">
                  <w:marLeft w:val="0"/>
                  <w:marRight w:val="0"/>
                  <w:marTop w:val="0"/>
                  <w:marBottom w:val="0"/>
                  <w:divBdr>
                    <w:top w:val="none" w:sz="0" w:space="0" w:color="auto"/>
                    <w:left w:val="none" w:sz="0" w:space="0" w:color="auto"/>
                    <w:bottom w:val="none" w:sz="0" w:space="0" w:color="auto"/>
                    <w:right w:val="none" w:sz="0" w:space="0" w:color="auto"/>
                  </w:divBdr>
                  <w:divsChild>
                    <w:div w:id="2119912723">
                      <w:marLeft w:val="0"/>
                      <w:marRight w:val="0"/>
                      <w:marTop w:val="0"/>
                      <w:marBottom w:val="0"/>
                      <w:divBdr>
                        <w:top w:val="none" w:sz="0" w:space="0" w:color="auto"/>
                        <w:left w:val="none" w:sz="0" w:space="0" w:color="auto"/>
                        <w:bottom w:val="none" w:sz="0" w:space="0" w:color="auto"/>
                        <w:right w:val="none" w:sz="0" w:space="0" w:color="auto"/>
                      </w:divBdr>
                      <w:divsChild>
                        <w:div w:id="12328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653CA9A723F4EA01AFCBA9286BD88" ma:contentTypeVersion="17" ma:contentTypeDescription="Create a new document." ma:contentTypeScope="" ma:versionID="66c4fd3687421fb66e3667209f9175c9">
  <xsd:schema xmlns:xsd="http://www.w3.org/2001/XMLSchema" xmlns:xs="http://www.w3.org/2001/XMLSchema" xmlns:p="http://schemas.microsoft.com/office/2006/metadata/properties" xmlns:ns2="a3838799-bbac-449b-9db3-afe6229db19a" xmlns:ns3="8edfcdd0-efb2-46b6-98f7-5abb8dcb10e3" targetNamespace="http://schemas.microsoft.com/office/2006/metadata/properties" ma:root="true" ma:fieldsID="6987ce58360ed1db26f864bce583ad20" ns2:_="" ns3:_="">
    <xsd:import namespace="a3838799-bbac-449b-9db3-afe6229db19a"/>
    <xsd:import namespace="8edfcdd0-efb2-46b6-98f7-5abb8dcb10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38799-bbac-449b-9db3-afe6229db1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f2bb54-22f6-4e90-876b-cd62ed38d7a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dfcdd0-efb2-46b6-98f7-5abb8dcb10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eaf7f9-8260-437d-b1bf-64bf82e7715d}" ma:internalName="TaxCatchAll" ma:showField="CatchAllData" ma:web="8edfcdd0-efb2-46b6-98f7-5abb8dcb1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 M E I T A R _ D M S ! 9 5 8 0 8 1 8 . 1 < / d o c u m e n t i d >  
     < s e n d e r i d > D G L A T T < / s e n d e r i d >  
     < s e n d e r e m a i l > D G L A T T @ M E I T A R . C O M < / s e n d e r e m a i l >  
     < l a s t m o d i f i e d > 2 0 1 9 - 0 6 - 2 4 T 1 4 : 4 7 : 0 0 . 0 0 0 0 0 0 0 + 0 3 : 0 0 < / l a s t m o d i f i e d >  
     < d a t a b a s e > M E I T A R _ D M S 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edfcdd0-efb2-46b6-98f7-5abb8dcb10e3" xsi:nil="true"/>
    <lcf76f155ced4ddcb4097134ff3c332f xmlns="a3838799-bbac-449b-9db3-afe6229db1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506BC6-0D05-46A0-B10E-093D0A694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38799-bbac-449b-9db3-afe6229db19a"/>
    <ds:schemaRef ds:uri="8edfcdd0-efb2-46b6-98f7-5abb8dcb1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F9450-D60A-4903-B3E5-CC02A3124DCC}">
  <ds:schemaRefs>
    <ds:schemaRef ds:uri="http://www.imanage.com/work/xmlschema"/>
  </ds:schemaRefs>
</ds:datastoreItem>
</file>

<file path=customXml/itemProps3.xml><?xml version="1.0" encoding="utf-8"?>
<ds:datastoreItem xmlns:ds="http://schemas.openxmlformats.org/officeDocument/2006/customXml" ds:itemID="{BF0F8B5E-602B-44E4-80C8-A08AC3F007A6}">
  <ds:schemaRefs>
    <ds:schemaRef ds:uri="http://schemas.microsoft.com/sharepoint/v3/contenttype/forms"/>
  </ds:schemaRefs>
</ds:datastoreItem>
</file>

<file path=customXml/itemProps4.xml><?xml version="1.0" encoding="utf-8"?>
<ds:datastoreItem xmlns:ds="http://schemas.openxmlformats.org/officeDocument/2006/customXml" ds:itemID="{0BF6CF7A-F1BE-4669-BAD1-85669904F775}">
  <ds:schemaRefs>
    <ds:schemaRef ds:uri="http://schemas.microsoft.com/office/2006/metadata/properties"/>
    <ds:schemaRef ds:uri="http://schemas.microsoft.com/office/infopath/2007/PartnerControls"/>
    <ds:schemaRef ds:uri="8edfcdd0-efb2-46b6-98f7-5abb8dcb10e3"/>
    <ds:schemaRef ds:uri="a3838799-bbac-449b-9db3-afe6229db19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1579</Words>
  <Characters>8411</Characters>
  <Application>Microsoft Office Word</Application>
  <DocSecurity>0</DocSecurity>
  <Lines>152</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2023-04-17T14:53:00Z</dcterms:created>
  <dcterms:modified xsi:type="dcterms:W3CDTF">2024-03-31T08:02:00Z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9580818/1</vt:lpwstr>
  </property>
  <property fmtid="{D5CDD505-2E9C-101B-9397-08002B2CF9AE}" pid="3" name="GrammarlyDocumentId">
    <vt:lpwstr>e08ef797f0149a62aee16b2a737d60bf80e62861241286f198a1c12d0fe25bc6</vt:lpwstr>
  </property>
  <property fmtid="{D5CDD505-2E9C-101B-9397-08002B2CF9AE}" pid="4" name="ContentTypeId">
    <vt:lpwstr>0x010100478653CA9A723F4EA01AFCBA9286BD88</vt:lpwstr>
  </property>
  <property fmtid="{D5CDD505-2E9C-101B-9397-08002B2CF9AE}" pid="5" name="MediaServiceImageTags">
    <vt:lpwstr/>
  </property>
</Properties>
</file>